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settings.xml" ContentType="application/vnd.openxmlformats-officedocument.wordprocessingml.settings+xml"/>
  <Override PartName="/word/header1.xml" ContentType="application/vnd.openxmlformats-officedocument.wordprocessingml.header+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customXml/itemProps1.xml" ContentType="application/vnd.openxmlformats-officedocument.customXmlPropertie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body>
    <w:p>
      <w:pPr>
        <w:pStyle w:val="1"/>
        <w:spacing w:before="28"/>
        <w:ind w:left="0"/>
        <w:jc w:val="center"/>
        <w:rPr>
          <w:sz w:val="36"/>
          <w:lang w:val="en-US"/>
        </w:rPr>
      </w:pPr>
    </w:p>
    <w:p>
      <w:pPr>
        <w:pStyle w:val="1"/>
        <w:spacing w:before="28"/>
        <w:ind w:left="0"/>
        <w:jc w:val="center"/>
        <w:rPr>
          <w:sz w:val="36"/>
        </w:rPr>
      </w:pPr>
      <w:r>
        <w:rPr>
          <w:rFonts w:hint="eastAsia"/>
          <w:sz w:val="36"/>
          <w:lang w:val="en-US"/>
        </w:rPr>
        <w:t>长沙格力202</w:t>
      </w:r>
      <w:r>
        <w:rPr>
          <w:sz w:val="36"/>
          <w:lang w:val="en-US"/>
        </w:rPr>
        <w:t>7</w:t>
      </w:r>
      <w:bookmarkStart w:id="0" w:name="_GoBack"/>
      <w:bookmarkEnd w:id="0"/>
      <w:r>
        <w:rPr>
          <w:rFonts w:hint="eastAsia"/>
          <w:sz w:val="36"/>
          <w:lang w:val="en-US"/>
        </w:rPr>
        <w:t>届大专生</w:t>
      </w:r>
      <w:r>
        <w:rPr>
          <w:sz w:val="36"/>
        </w:rPr>
        <w:t>招聘简章</w:t>
      </w:r>
    </w:p>
    <w:p>
      <w:pPr>
        <w:pStyle w:val="1"/>
        <w:spacing w:line="360" w:lineRule="auto"/>
        <w:ind w:left="0"/>
      </w:pPr>
      <w:r>
        <w:t>一</w:t>
      </w:r>
      <w:r>
        <w:rPr>
          <w:rFonts w:hint="eastAsia"/>
        </w:rPr>
        <w:t>、</w:t>
      </w:r>
      <w:r>
        <w:t>公司简介</w:t>
      </w:r>
    </w:p>
    <w:p>
      <w:pPr>
        <w:kinsoku w:val="0"/>
        <w:overflowPunct w:val="0"/>
        <w:autoSpaceDE w:val="0"/>
        <w:autoSpaceDN w:val="0"/>
        <w:snapToGrid w:val="0"/>
        <w:spacing w:line="500" w:lineRule="exact"/>
        <w:jc w:val="both"/>
        <w:rPr>
          <w:sz w:val="24"/>
          <w:szCs w:val="24"/>
        </w:rPr>
      </w:pPr>
      <w:r>
        <w:rPr>
          <w:rFonts w:hint="eastAsia"/>
          <w:sz w:val="24"/>
          <w:szCs w:val="24"/>
        </w:rPr>
        <w:t xml:space="preserve">       格力产业园项目总占地约2500亩，长沙格力暖通制冷设备有限公司是珠海格力在全球布局的第十个空调基地，整体项目分为三期建设,其中一期项目占地716亩，2016年6月份建成投产，是家用空调和商用空调等产品的综合性生产基地。二期项目占地430亩，2019年11月份正式投产，主要生产大型水冷风冷机组和末端等产品，将广泛应用于大型商业场馆及交通运输等行业。三项目占地961亩，主要规划生产冰箱和洗衣机，年设计能力450万台。</w:t>
      </w:r>
    </w:p>
    <w:p>
      <w:pPr>
        <w:pStyle w:val="1"/>
        <w:spacing w:line="360" w:lineRule="auto"/>
        <w:ind w:left="0"/>
      </w:pPr>
      <w:r>
        <w:rPr>
          <w:rFonts w:hint="eastAsia"/>
          <w:lang w:val="en-US"/>
        </w:rPr>
        <w:t>二、</w:t>
      </w:r>
      <w:r>
        <w:t>招聘计划</w:t>
      </w:r>
    </w:p>
    <w:tbl>
      <w:tblPr>
        <w:jc w:val="center"/>
        <w:tblW w:w="9891" w:type="dxa"/>
        <w:tblBorders>
          <w:top w:val="none" w:sz="0" w:space="0" w:color="auto"/>
          <w:left w:val="none" w:sz="0" w:space="0" w:color="auto"/>
          <w:bottom w:val="none" w:sz="0" w:space="0" w:color="auto"/>
          <w:right w:val="none" w:sz="0" w:space="0" w:color="auto"/>
        </w:tblBorders>
        <w:tblLayout w:type="fixed"/>
        <w:tblCellMar>
          <w:top w:w="0" w:type="dxa"/>
          <w:left w:w="0" w:type="dxa"/>
          <w:bottom w:w="0" w:type="dxa"/>
          <w:right w:w="0" w:type="dxa"/>
        </w:tblCellMar>
        <w:tblLook w:val="04A0" w:firstRow="1" w:lastRow="0" w:firstColumn="1" w:lastColumn="0" w:noHBand="0" w:noVBand="1"/>
      </w:tblPr>
      <w:tblGrid>
        <w:gridCol w:w="589"/>
        <w:gridCol w:w="1615"/>
        <w:gridCol w:w="4394"/>
        <w:gridCol w:w="2132"/>
        <w:gridCol w:w="1161"/>
      </w:tblGrid>
      <w:tr>
        <w:trPr>
          <w:trHeight w:val="434"/>
        </w:trPr>
        <w:tc>
          <w:tcPr>
            <w:tcW w:w="589" w:type="dxa"/>
            <w:tcBorders>
              <w:top w:val="single" w:sz="4" w:space="0" w:color="000000"/>
              <w:left w:val="single" w:sz="4" w:space="0" w:color="000000"/>
              <w:bottom w:val="single" w:sz="4" w:space="0" w:color="000000"/>
              <w:right w:val="single" w:sz="4" w:space="0" w:color="000000"/>
            </w:tcBorders>
            <w:shd w:val="clear" w:color="auto" w:fill="95B3D7"/>
            <w:tcMar>
              <w:top w:w="15" w:type="dxa"/>
              <w:left w:w="15" w:type="dxa"/>
              <w:right w:w="15" w:type="dxa"/>
            </w:tcMar>
            <w:vAlign w:val="center"/>
          </w:tcPr>
          <w:p>
            <w:pPr>
              <w:widowControl/>
              <w:jc w:val="center"/>
              <w:textAlignment w:val="center"/>
              <w:rPr>
                <w:b/>
                <w:color w:val="000000"/>
              </w:rPr>
            </w:pPr>
            <w:r>
              <w:rPr>
                <w:rFonts w:hint="eastAsia"/>
                <w:b/>
                <w:color w:val="000000"/>
                <w:lang w:val="en-US"/>
              </w:rPr>
              <w:t>序号</w:t>
            </w:r>
          </w:p>
        </w:tc>
        <w:tc>
          <w:tcPr>
            <w:tcW w:w="1615" w:type="dxa"/>
            <w:tcBorders>
              <w:top w:val="single" w:sz="4" w:space="0" w:color="000000"/>
              <w:left w:val="single" w:sz="4" w:space="0" w:color="000000"/>
              <w:bottom w:val="single" w:sz="4" w:space="0" w:color="000000"/>
              <w:right w:val="single" w:sz="4" w:space="0" w:color="000000"/>
            </w:tcBorders>
            <w:shd w:val="clear" w:color="auto" w:fill="95B3D7"/>
            <w:tcMar>
              <w:top w:w="15" w:type="dxa"/>
              <w:left w:w="15" w:type="dxa"/>
              <w:right w:w="15" w:type="dxa"/>
            </w:tcMar>
            <w:vAlign w:val="center"/>
          </w:tcPr>
          <w:p>
            <w:pPr>
              <w:widowControl/>
              <w:jc w:val="center"/>
              <w:textAlignment w:val="center"/>
              <w:rPr>
                <w:b/>
                <w:color w:val="000000"/>
              </w:rPr>
            </w:pPr>
            <w:r>
              <w:rPr>
                <w:rFonts w:hint="eastAsia"/>
                <w:b/>
                <w:color w:val="000000"/>
                <w:lang w:val="en-US"/>
              </w:rPr>
              <w:t>岗位名称</w:t>
            </w:r>
          </w:p>
        </w:tc>
        <w:tc>
          <w:tcPr>
            <w:tcW w:w="4394" w:type="dxa"/>
            <w:tcBorders>
              <w:top w:val="single" w:sz="4" w:space="0" w:color="000000"/>
              <w:left w:val="single" w:sz="4" w:space="0" w:color="000000"/>
              <w:bottom w:val="single" w:sz="4" w:space="0" w:color="000000"/>
              <w:right w:val="single" w:sz="4" w:space="0" w:color="000000"/>
            </w:tcBorders>
            <w:shd w:val="clear" w:color="auto" w:fill="95B3D7"/>
            <w:tcMar>
              <w:top w:w="15" w:type="dxa"/>
              <w:left w:w="15" w:type="dxa"/>
              <w:right w:w="15" w:type="dxa"/>
            </w:tcMar>
            <w:vAlign w:val="center"/>
          </w:tcPr>
          <w:p>
            <w:pPr>
              <w:widowControl/>
              <w:jc w:val="center"/>
              <w:textAlignment w:val="center"/>
              <w:rPr>
                <w:b/>
                <w:color w:val="000000"/>
              </w:rPr>
            </w:pPr>
            <w:r>
              <w:rPr>
                <w:rFonts w:hint="eastAsia"/>
                <w:b/>
                <w:color w:val="000000"/>
                <w:lang w:val="en-US"/>
              </w:rPr>
              <w:t>岗位职责与要求</w:t>
            </w:r>
          </w:p>
        </w:tc>
        <w:tc>
          <w:tcPr>
            <w:tcW w:w="2132" w:type="dxa"/>
            <w:tcBorders>
              <w:top w:val="single" w:sz="4" w:space="0" w:color="000000"/>
              <w:left w:val="single" w:sz="4" w:space="0" w:color="000000"/>
              <w:bottom w:val="single" w:sz="4" w:space="0" w:color="000000"/>
              <w:right w:val="single" w:sz="4" w:space="0" w:color="000000"/>
            </w:tcBorders>
            <w:shd w:val="clear" w:color="auto" w:fill="95B3D7"/>
            <w:tcMar>
              <w:top w:w="15" w:type="dxa"/>
              <w:left w:w="15" w:type="dxa"/>
              <w:right w:w="15" w:type="dxa"/>
            </w:tcMar>
            <w:vAlign w:val="center"/>
          </w:tcPr>
          <w:p>
            <w:pPr>
              <w:widowControl/>
              <w:jc w:val="center"/>
              <w:textAlignment w:val="center"/>
              <w:rPr>
                <w:b/>
                <w:color w:val="000000"/>
              </w:rPr>
            </w:pPr>
            <w:r>
              <w:rPr>
                <w:rFonts w:hint="eastAsia"/>
                <w:b/>
                <w:color w:val="000000"/>
                <w:lang w:val="en-US"/>
              </w:rPr>
              <w:t>专业要求</w:t>
            </w:r>
          </w:p>
        </w:tc>
        <w:tc>
          <w:tcPr>
            <w:tcW w:w="1161" w:type="dxa"/>
            <w:tcBorders>
              <w:top w:val="single" w:sz="4" w:space="0" w:color="000000"/>
              <w:left w:val="single" w:sz="4" w:space="0" w:color="000000"/>
              <w:bottom w:val="single" w:sz="4" w:space="0" w:color="000000"/>
              <w:right w:val="single" w:sz="4" w:space="0" w:color="000000"/>
            </w:tcBorders>
            <w:shd w:val="clear" w:color="auto" w:fill="95B3D7"/>
            <w:tcMar>
              <w:top w:w="15" w:type="dxa"/>
              <w:left w:w="15" w:type="dxa"/>
              <w:right w:w="15" w:type="dxa"/>
            </w:tcMar>
            <w:vAlign w:val="center"/>
          </w:tcPr>
          <w:p>
            <w:pPr>
              <w:widowControl/>
              <w:jc w:val="center"/>
              <w:textAlignment w:val="center"/>
              <w:rPr>
                <w:b/>
                <w:color w:val="000000"/>
              </w:rPr>
            </w:pPr>
            <w:r>
              <w:rPr>
                <w:rFonts w:hint="eastAsia"/>
                <w:b/>
                <w:color w:val="000000"/>
                <w:lang w:val="en-US"/>
              </w:rPr>
              <w:t>招聘人数</w:t>
            </w:r>
          </w:p>
        </w:tc>
      </w:tr>
      <w:tr>
        <w:trPr>
          <w:trHeight w:val="717"/>
        </w:trPr>
        <w:tc>
          <w:tcPr>
            <w:tcW w:w="5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rFonts w:hint="eastAsia"/>
                <w:color w:val="000000"/>
                <w:sz w:val="21"/>
                <w:szCs w:val="21"/>
                <w:lang w:val="en-US"/>
              </w:rPr>
              <w:t>1</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sz w:val="21"/>
                <w:szCs w:val="21"/>
              </w:rPr>
            </w:pPr>
            <w:r>
              <w:rPr>
                <w:rFonts w:hint="eastAsia"/>
                <w:color w:val="000000"/>
                <w:sz w:val="21"/>
                <w:szCs w:val="21"/>
                <w:lang w:val="en-US"/>
              </w:rPr>
              <w:t>关键设备操作工</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textAlignment w:val="center"/>
              <w:rPr>
                <w:sz w:val="21"/>
                <w:szCs w:val="21"/>
              </w:rPr>
            </w:pPr>
            <w:r>
              <w:rPr>
                <w:rFonts w:hint="eastAsia"/>
                <w:color w:val="000000"/>
                <w:sz w:val="21"/>
                <w:szCs w:val="21"/>
                <w:lang w:val="en-US"/>
              </w:rPr>
              <w:t>确保生产设备能够正常运行，调试设备，指导操作，及时对生产设备进行维护和保养，保证生产的正常运行。</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jc w:val="both"/>
              <w:textAlignment w:val="center"/>
              <w:rPr>
                <w:sz w:val="21"/>
                <w:szCs w:val="21"/>
              </w:rPr>
            </w:pPr>
            <w:r>
              <w:rPr>
                <w:rFonts w:hint="eastAsia"/>
                <w:color w:val="000000"/>
                <w:sz w:val="21"/>
                <w:szCs w:val="21"/>
                <w:lang w:val="en-US"/>
              </w:rPr>
              <w:t>模具制造、制冷设备运行与维护、工业机器人</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color w:val="000000"/>
                <w:sz w:val="21"/>
                <w:szCs w:val="21"/>
                <w:lang w:val="en-US"/>
              </w:rPr>
              <w:t>30</w:t>
            </w:r>
          </w:p>
        </w:tc>
      </w:tr>
      <w:tr>
        <w:trPr>
          <w:trHeight w:val="1411"/>
        </w:trPr>
        <w:tc>
          <w:tcPr>
            <w:tcW w:w="5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rPr>
            </w:pPr>
            <w:r>
              <w:rPr>
                <w:rFonts w:hint="eastAsia"/>
                <w:color w:val="000000"/>
                <w:sz w:val="21"/>
                <w:szCs w:val="21"/>
                <w:lang w:val="en-US"/>
              </w:rPr>
              <w:t>2</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rFonts w:hint="eastAsia"/>
                <w:sz w:val="21"/>
                <w:szCs w:val="21"/>
                <w:lang w:val="en-US"/>
              </w:rPr>
              <w:t>质检员</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textAlignment w:val="center"/>
              <w:rPr>
                <w:color w:val="000000"/>
                <w:sz w:val="21"/>
                <w:szCs w:val="21"/>
              </w:rPr>
            </w:pPr>
            <w:r>
              <w:rPr>
                <w:rFonts w:hint="eastAsia"/>
                <w:sz w:val="21"/>
                <w:szCs w:val="21"/>
              </w:rPr>
              <w:t>按照作业指导书、技术标准等执行本岗位产品质量的检验工作；如实记录产品质量检验数据，保证质量信息记录的真实、可靠；保证首检内容使用物料型号等正确性，生产过程中质量一致性的控制。</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pStyle w:val="20"/>
              <w:spacing w:line="293" w:lineRule="exact"/>
              <w:ind w:leftChars="50" w:left="110" w:rightChars="50" w:right="110"/>
              <w:jc w:val="both"/>
              <w:rPr>
                <w:color w:val="000000"/>
                <w:sz w:val="21"/>
                <w:szCs w:val="21"/>
              </w:rPr>
            </w:pPr>
            <w:r>
              <w:rPr>
                <w:rFonts w:hint="eastAsia"/>
                <w:sz w:val="21"/>
                <w:szCs w:val="21"/>
              </w:rPr>
              <w:t>机电类、机械类，模具、数控、暖通、自动化等专业</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color w:val="000000"/>
                <w:sz w:val="21"/>
                <w:szCs w:val="21"/>
                <w:lang w:val="en-US"/>
              </w:rPr>
              <w:t>2</w:t>
            </w:r>
            <w:r>
              <w:rPr>
                <w:rFonts w:hint="eastAsia"/>
                <w:color w:val="000000"/>
                <w:sz w:val="21"/>
                <w:szCs w:val="21"/>
                <w:lang w:val="en-US"/>
              </w:rPr>
              <w:t>0</w:t>
            </w:r>
          </w:p>
        </w:tc>
      </w:tr>
      <w:tr>
        <w:trPr>
          <w:trHeight w:val="700"/>
        </w:trPr>
        <w:tc>
          <w:tcPr>
            <w:tcW w:w="5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rPr>
            </w:pPr>
            <w:r>
              <w:rPr>
                <w:color w:val="000000"/>
                <w:sz w:val="21"/>
                <w:szCs w:val="21"/>
                <w:lang w:val="en-US"/>
              </w:rPr>
              <w:t>3</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rPr>
            </w:pPr>
            <w:r>
              <w:rPr>
                <w:rFonts w:hint="eastAsia"/>
                <w:color w:val="000000"/>
                <w:sz w:val="21"/>
                <w:szCs w:val="21"/>
              </w:rPr>
              <w:t>外检员</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textAlignment w:val="center"/>
              <w:rPr>
                <w:color w:val="000000"/>
                <w:sz w:val="21"/>
                <w:szCs w:val="21"/>
              </w:rPr>
            </w:pPr>
            <w:r>
              <w:rPr>
                <w:rFonts w:hint="eastAsia"/>
                <w:spacing w:val="-12"/>
                <w:sz w:val="21"/>
                <w:szCs w:val="21"/>
              </w:rPr>
              <w:t>根据部门发展，提高产品质量，配合有关部门分析、调查外协外购件不合格原因，预防同类问题重复发生。根据有关的检验规程，技术文件、图纸或封样件对送检的外协外购件进行抽样检验。</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jc w:val="both"/>
              <w:textAlignment w:val="center"/>
              <w:rPr>
                <w:color w:val="000000"/>
                <w:sz w:val="21"/>
                <w:szCs w:val="21"/>
                <w:lang w:val="en-US"/>
              </w:rPr>
            </w:pPr>
            <w:r>
              <w:rPr>
                <w:rFonts w:hint="eastAsia"/>
                <w:sz w:val="21"/>
                <w:szCs w:val="21"/>
              </w:rPr>
              <w:t>机电类、机械类，模具、数控、暖通、自动化等专业</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color w:val="000000"/>
                <w:sz w:val="21"/>
                <w:szCs w:val="21"/>
                <w:lang w:val="en-US"/>
              </w:rPr>
              <w:t>1</w:t>
            </w:r>
            <w:r>
              <w:rPr>
                <w:rFonts w:hint="eastAsia"/>
                <w:color w:val="000000"/>
                <w:sz w:val="21"/>
                <w:szCs w:val="21"/>
                <w:lang w:val="en-US"/>
              </w:rPr>
              <w:t>0</w:t>
            </w:r>
          </w:p>
        </w:tc>
      </w:tr>
      <w:tr>
        <w:trPr>
          <w:trHeight w:val="742"/>
        </w:trPr>
        <w:tc>
          <w:tcPr>
            <w:tcW w:w="5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color w:val="000000"/>
                <w:sz w:val="21"/>
                <w:szCs w:val="21"/>
                <w:lang w:val="en-US"/>
              </w:rPr>
              <w:t>4</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sz w:val="21"/>
                <w:szCs w:val="21"/>
              </w:rPr>
              <w:t>设备保全员</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textAlignment w:val="center"/>
              <w:rPr>
                <w:color w:val="000000"/>
                <w:sz w:val="21"/>
                <w:szCs w:val="21"/>
                <w:lang w:val="en-US"/>
              </w:rPr>
            </w:pPr>
            <w:r>
              <w:rPr>
                <w:sz w:val="21"/>
                <w:szCs w:val="21"/>
              </w:rPr>
              <w:t>负责各类特种设备和非标设备的电气装配、整机调试和运行保障工作。</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pStyle w:val="20"/>
              <w:spacing w:before="4" w:line="226" w:lineRule="auto"/>
              <w:ind w:leftChars="50" w:left="110" w:rightChars="50" w:right="110"/>
              <w:jc w:val="both"/>
              <w:rPr>
                <w:sz w:val="21"/>
                <w:szCs w:val="21"/>
              </w:rPr>
            </w:pPr>
            <w:r>
              <w:rPr>
                <w:sz w:val="21"/>
                <w:szCs w:val="21"/>
              </w:rPr>
              <w:t>机电、机器人、数控等专业，持电工证者优先</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rFonts w:hint="eastAsia"/>
                <w:color w:val="000000"/>
                <w:sz w:val="21"/>
                <w:szCs w:val="21"/>
                <w:lang w:val="en-US"/>
              </w:rPr>
              <w:t>10</w:t>
            </w:r>
          </w:p>
        </w:tc>
      </w:tr>
      <w:tr>
        <w:trPr>
          <w:trHeight w:val="684"/>
        </w:trPr>
        <w:tc>
          <w:tcPr>
            <w:tcW w:w="5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color w:val="000000"/>
                <w:sz w:val="21"/>
                <w:szCs w:val="21"/>
                <w:lang w:val="en-US"/>
              </w:rPr>
              <w:t>5</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rFonts w:hint="eastAsia"/>
                <w:sz w:val="21"/>
                <w:szCs w:val="21"/>
                <w:lang w:val="en-US"/>
              </w:rPr>
              <w:t>机加工</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textAlignment w:val="center"/>
              <w:rPr>
                <w:color w:val="000000"/>
                <w:sz w:val="21"/>
                <w:szCs w:val="21"/>
                <w:lang w:val="en-US"/>
              </w:rPr>
            </w:pPr>
            <w:r>
              <w:rPr>
                <w:rFonts w:hint="eastAsia"/>
                <w:color w:val="000000"/>
                <w:sz w:val="21"/>
                <w:szCs w:val="21"/>
                <w:lang w:val="en-US"/>
              </w:rPr>
              <w:t>操作数控机床法兰克、西门子等系统；处理设备异常情况；制定正确加工工序进行有效的加工作业。</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jc w:val="both"/>
              <w:textAlignment w:val="center"/>
              <w:rPr>
                <w:color w:val="000000"/>
                <w:sz w:val="21"/>
                <w:szCs w:val="21"/>
                <w:lang w:val="en-US"/>
              </w:rPr>
            </w:pPr>
            <w:r>
              <w:rPr>
                <w:rFonts w:hint="eastAsia"/>
                <w:color w:val="000000"/>
                <w:sz w:val="21"/>
                <w:szCs w:val="21"/>
                <w:lang w:val="en-US"/>
              </w:rPr>
              <w:t>数控机加、数控技术应用</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rFonts w:hint="eastAsia"/>
                <w:color w:val="000000"/>
                <w:sz w:val="21"/>
                <w:szCs w:val="21"/>
                <w:lang w:val="en-US"/>
              </w:rPr>
              <w:t>10</w:t>
            </w:r>
          </w:p>
        </w:tc>
      </w:tr>
      <w:tr>
        <w:trPr>
          <w:trHeight w:val="682"/>
        </w:trPr>
        <w:tc>
          <w:tcPr>
            <w:tcW w:w="589"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color w:val="000000"/>
                <w:sz w:val="21"/>
                <w:szCs w:val="21"/>
                <w:lang w:val="en-US"/>
              </w:rPr>
              <w:t>6</w:t>
            </w:r>
          </w:p>
        </w:tc>
        <w:tc>
          <w:tcPr>
            <w:tcW w:w="1615"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sz w:val="21"/>
                <w:szCs w:val="21"/>
                <w:lang w:val="en-US"/>
              </w:rPr>
            </w:pPr>
            <w:r>
              <w:rPr>
                <w:rFonts w:hint="eastAsia"/>
                <w:sz w:val="21"/>
                <w:szCs w:val="21"/>
                <w:lang w:val="en-US"/>
              </w:rPr>
              <w:t>压力容器焊工</w:t>
            </w:r>
          </w:p>
        </w:tc>
        <w:tc>
          <w:tcPr>
            <w:tcW w:w="4394"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textAlignment w:val="center"/>
              <w:rPr>
                <w:spacing w:val="-12"/>
                <w:sz w:val="21"/>
                <w:szCs w:val="21"/>
              </w:rPr>
            </w:pPr>
            <w:r>
              <w:rPr>
                <w:rFonts w:hint="eastAsia"/>
                <w:color w:val="000000"/>
                <w:sz w:val="21"/>
                <w:szCs w:val="21"/>
                <w:lang w:val="en-US"/>
              </w:rPr>
              <w:t>对大型中央空调整体进行压力容器焊焊接组装，有压力容器焊工证，无证愿意学习者</w:t>
            </w:r>
          </w:p>
        </w:tc>
        <w:tc>
          <w:tcPr>
            <w:tcW w:w="2132"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ind w:leftChars="50" w:left="110" w:rightChars="50" w:right="110"/>
              <w:jc w:val="both"/>
              <w:textAlignment w:val="center"/>
              <w:rPr>
                <w:spacing w:val="-5"/>
                <w:sz w:val="21"/>
                <w:szCs w:val="21"/>
              </w:rPr>
            </w:pPr>
            <w:r>
              <w:rPr>
                <w:rFonts w:hint="eastAsia"/>
                <w:color w:val="000000"/>
                <w:sz w:val="21"/>
                <w:szCs w:val="21"/>
                <w:lang w:val="en-US"/>
              </w:rPr>
              <w:t>焊接技术及自动化，其他专业愿意学习者可放宽要求</w:t>
            </w:r>
          </w:p>
        </w:tc>
        <w:tc>
          <w:tcPr>
            <w:tcW w:w="1161" w:type="dxa"/>
            <w:tcBorders>
              <w:top w:val="single" w:sz="4" w:space="0" w:color="000000"/>
              <w:left w:val="single" w:sz="4" w:space="0" w:color="000000"/>
              <w:bottom w:val="single" w:sz="4" w:space="0" w:color="000000"/>
              <w:right w:val="single" w:sz="4" w:space="0" w:color="000000"/>
            </w:tcBorders>
            <w:shd w:val="clear" w:color="auto" w:fill="auto"/>
            <w:tcMar>
              <w:top w:w="15" w:type="dxa"/>
              <w:left w:w="15" w:type="dxa"/>
              <w:right w:w="15" w:type="dxa"/>
            </w:tcMar>
            <w:vAlign w:val="center"/>
          </w:tcPr>
          <w:p>
            <w:pPr>
              <w:widowControl/>
              <w:jc w:val="center"/>
              <w:textAlignment w:val="center"/>
              <w:rPr>
                <w:color w:val="000000"/>
                <w:sz w:val="21"/>
                <w:szCs w:val="21"/>
                <w:lang w:val="en-US"/>
              </w:rPr>
            </w:pPr>
            <w:r>
              <w:rPr>
                <w:rFonts w:hint="eastAsia"/>
                <w:color w:val="000000"/>
                <w:sz w:val="21"/>
                <w:szCs w:val="21"/>
                <w:lang w:val="en-US"/>
              </w:rPr>
              <w:t>20</w:t>
            </w:r>
          </w:p>
        </w:tc>
      </w:tr>
    </w:tbl>
    <w:p>
      <w:pPr>
        <w:pStyle w:val="19"/>
        <w:spacing w:before="28" w:after="54"/>
        <w:rPr>
          <w:b/>
          <w:sz w:val="28"/>
        </w:rPr>
      </w:pPr>
    </w:p>
    <w:p>
      <w:pPr>
        <w:pStyle w:val="19"/>
        <w:spacing w:before="28" w:after="54"/>
        <w:rPr>
          <w:b/>
          <w:sz w:val="28"/>
        </w:rPr>
      </w:pPr>
    </w:p>
    <w:p>
      <w:pPr>
        <w:pStyle w:val="19"/>
        <w:spacing w:before="28" w:after="54"/>
        <w:rPr>
          <w:b/>
          <w:sz w:val="28"/>
        </w:rPr>
      </w:pPr>
      <w:r>
        <w:rPr>
          <w:rFonts w:hint="eastAsia"/>
          <w:b/>
          <w:sz w:val="28"/>
        </w:rPr>
        <w:t>三、</w:t>
      </w:r>
      <w:r>
        <w:rPr>
          <w:b/>
          <w:sz w:val="28"/>
        </w:rPr>
        <w:t>福利待遇</w:t>
      </w:r>
    </w:p>
    <w:tbl>
      <w:tblPr>
        <w:jc w:val="center"/>
        <w:tblW w:w="10395"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Look w:val="04A0" w:firstRow="1" w:lastRow="0" w:firstColumn="1" w:lastColumn="0" w:noHBand="0" w:noVBand="1"/>
      </w:tblPr>
      <w:tblGrid>
        <w:gridCol w:w="736"/>
        <w:gridCol w:w="1065"/>
        <w:gridCol w:w="2681"/>
        <w:gridCol w:w="3244"/>
        <w:gridCol w:w="2669"/>
      </w:tblGrid>
      <w:tr>
        <w:trPr>
          <w:trHeight w:val="113"/>
        </w:trPr>
        <w:tc>
          <w:tcPr>
            <w:tcW w:w="736" w:type="dxa"/>
            <w:tcBorders>
              <w:top w:val="single" w:sz="4" w:space="0" w:color="000000"/>
              <w:left w:val="single" w:sz="4" w:space="0" w:color="000000"/>
              <w:bottom w:val="single" w:sz="4" w:space="0" w:color="000000"/>
              <w:right w:val="single" w:sz="4" w:space="0" w:color="000000"/>
            </w:tcBorders>
            <w:shd w:val="clear" w:color="auto" w:fill="9BC2E6"/>
            <w:vAlign w:val="center"/>
          </w:tcPr>
          <w:p>
            <w:pPr>
              <w:widowControl/>
              <w:jc w:val="center"/>
              <w:textAlignment w:val="center"/>
              <w:rPr>
                <w:b/>
                <w:bCs/>
                <w:color w:val="000000"/>
                <w:sz w:val="21"/>
                <w:szCs w:val="21"/>
              </w:rPr>
            </w:pPr>
            <w:r>
              <w:rPr>
                <w:rFonts w:hint="eastAsia"/>
                <w:b/>
                <w:bCs/>
                <w:color w:val="000000"/>
                <w:sz w:val="21"/>
                <w:szCs w:val="21"/>
                <w:lang w:val="en-US"/>
              </w:rPr>
              <w:t>阶段</w:t>
            </w:r>
          </w:p>
        </w:tc>
        <w:tc>
          <w:tcPr>
            <w:tcW w:w="3746" w:type="dxa"/>
            <w:gridSpan w:val="2"/>
            <w:tcBorders>
              <w:top w:val="single" w:sz="4" w:space="0" w:color="000000"/>
              <w:left w:val="single" w:sz="4" w:space="0" w:color="000000"/>
              <w:bottom w:val="single" w:sz="4" w:space="0" w:color="000000"/>
              <w:right w:val="single" w:sz="4" w:space="0" w:color="000000"/>
            </w:tcBorders>
            <w:shd w:val="clear" w:color="auto" w:fill="9BC2E6"/>
            <w:vAlign w:val="center"/>
          </w:tcPr>
          <w:p>
            <w:pPr>
              <w:widowControl/>
              <w:jc w:val="center"/>
              <w:textAlignment w:val="center"/>
              <w:rPr>
                <w:b/>
                <w:bCs/>
                <w:color w:val="000000"/>
                <w:sz w:val="21"/>
                <w:szCs w:val="21"/>
              </w:rPr>
            </w:pPr>
            <w:r>
              <w:rPr>
                <w:rFonts w:hint="eastAsia"/>
                <w:b/>
                <w:bCs/>
                <w:color w:val="000000"/>
                <w:sz w:val="21"/>
                <w:szCs w:val="21"/>
                <w:lang w:val="en-US"/>
              </w:rPr>
              <w:t>项目</w:t>
            </w:r>
          </w:p>
        </w:tc>
        <w:tc>
          <w:tcPr>
            <w:tcW w:w="3244" w:type="dxa"/>
            <w:tcBorders>
              <w:top w:val="single" w:sz="4" w:space="0" w:color="000000"/>
              <w:left w:val="single" w:sz="4" w:space="0" w:color="000000"/>
              <w:bottom w:val="single" w:sz="4" w:space="0" w:color="000000"/>
              <w:right w:val="single" w:sz="4" w:space="0" w:color="000000"/>
            </w:tcBorders>
            <w:shd w:val="clear" w:color="auto" w:fill="9BC2E6"/>
            <w:vAlign w:val="center"/>
          </w:tcPr>
          <w:p>
            <w:pPr>
              <w:widowControl/>
              <w:jc w:val="center"/>
              <w:textAlignment w:val="center"/>
              <w:rPr>
                <w:b/>
                <w:bCs/>
                <w:color w:val="000000"/>
                <w:sz w:val="21"/>
                <w:szCs w:val="21"/>
              </w:rPr>
            </w:pPr>
            <w:r>
              <w:rPr>
                <w:rFonts w:hint="eastAsia"/>
                <w:b/>
                <w:bCs/>
                <w:color w:val="000000"/>
                <w:sz w:val="21"/>
                <w:szCs w:val="21"/>
                <w:lang w:val="en-US"/>
              </w:rPr>
              <w:t>待遇标准</w:t>
            </w:r>
          </w:p>
        </w:tc>
        <w:tc>
          <w:tcPr>
            <w:tcW w:w="2669" w:type="dxa"/>
            <w:tcBorders>
              <w:top w:val="single" w:sz="4" w:space="0" w:color="000000"/>
              <w:left w:val="single" w:sz="4" w:space="0" w:color="000000"/>
              <w:bottom w:val="single" w:sz="4" w:space="0" w:color="000000"/>
              <w:right w:val="single" w:sz="4" w:space="0" w:color="000000"/>
            </w:tcBorders>
            <w:shd w:val="clear" w:color="auto" w:fill="9BC2E6"/>
            <w:vAlign w:val="center"/>
          </w:tcPr>
          <w:p>
            <w:pPr>
              <w:widowControl/>
              <w:jc w:val="center"/>
              <w:textAlignment w:val="center"/>
              <w:rPr>
                <w:b/>
                <w:bCs/>
                <w:color w:val="000000"/>
                <w:sz w:val="21"/>
                <w:szCs w:val="21"/>
              </w:rPr>
            </w:pPr>
            <w:r>
              <w:rPr>
                <w:rFonts w:hint="eastAsia"/>
                <w:b/>
                <w:bCs/>
                <w:color w:val="000000"/>
                <w:sz w:val="21"/>
                <w:szCs w:val="21"/>
                <w:lang w:val="en-US"/>
              </w:rPr>
              <w:t>备注</w:t>
            </w:r>
          </w:p>
        </w:tc>
      </w:tr>
      <w:tr>
        <w:trPr>
          <w:trHeight w:val="113"/>
        </w:trPr>
        <w:tc>
          <w:tcPr>
            <w:tcW w:w="73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b/>
                <w:bCs/>
                <w:color w:val="000000"/>
                <w:sz w:val="21"/>
                <w:szCs w:val="21"/>
              </w:rPr>
            </w:pPr>
            <w:r>
              <w:rPr>
                <w:rFonts w:hint="eastAsia"/>
                <w:b/>
                <w:bCs/>
                <w:color w:val="000000"/>
                <w:sz w:val="21"/>
                <w:szCs w:val="21"/>
                <w:lang w:val="en-US"/>
              </w:rPr>
              <w:t>正式工阶段</w:t>
            </w: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工资标准</w:t>
            </w:r>
          </w:p>
        </w:tc>
        <w:tc>
          <w:tcPr>
            <w:tcW w:w="2681"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lang w:val="en-US"/>
              </w:rPr>
            </w:pPr>
            <w:r>
              <w:rPr>
                <w:rFonts w:hint="eastAsia"/>
                <w:sz w:val="21"/>
                <w:szCs w:val="21"/>
                <w:lang w:val="en-US"/>
              </w:rPr>
              <w:t xml:space="preserve">正式工 </w:t>
            </w:r>
          </w:p>
          <w:p>
            <w:pPr>
              <w:widowControl/>
              <w:jc w:val="center"/>
              <w:textAlignment w:val="center"/>
              <w:rPr>
                <w:sz w:val="21"/>
                <w:szCs w:val="21"/>
              </w:rPr>
            </w:pPr>
            <w:r>
              <w:rPr>
                <w:rFonts w:hint="eastAsia"/>
                <w:sz w:val="21"/>
                <w:szCs w:val="21"/>
                <w:lang w:val="en-US"/>
              </w:rPr>
              <w:t>（上班时间7:30-19:30）</w:t>
            </w:r>
          </w:p>
        </w:tc>
        <w:tc>
          <w:tcPr>
            <w:tcW w:w="324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试用期：3500-5000左右/月</w:t>
            </w:r>
          </w:p>
        </w:tc>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3个月</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8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324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转正后：5000-7000左右</w:t>
            </w:r>
            <w:r>
              <w:rPr>
                <w:rStyle w:val="22"/>
                <w:rFonts w:ascii="微软雅黑" w:cs="微软雅黑" w:hAnsi="微软雅黑" w:hint="eastAsia"/>
                <w:b w:val="0"/>
                <w:bCs w:val="0"/>
                <w:color w:val="auto"/>
                <w:sz w:val="21"/>
                <w:szCs w:val="21"/>
                <w:lang w:val="en-US"/>
              </w:rPr>
              <w:t>/</w:t>
            </w:r>
            <w:r>
              <w:rPr>
                <w:rStyle w:val="23"/>
                <w:rFonts w:ascii="微软雅黑" w:eastAsia="微软雅黑" w:cs="微软雅黑" w:hAnsi="微软雅黑"/>
                <w:b w:val="0"/>
                <w:bCs w:val="0"/>
                <w:color w:val="auto"/>
                <w:sz w:val="21"/>
                <w:szCs w:val="21"/>
                <w:lang w:val="en-US"/>
              </w:rPr>
              <w:t>月</w:t>
            </w:r>
          </w:p>
        </w:tc>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食宿</w:t>
            </w:r>
          </w:p>
        </w:tc>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住</w:t>
            </w:r>
          </w:p>
        </w:tc>
        <w:tc>
          <w:tcPr>
            <w:tcW w:w="324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包住</w:t>
            </w:r>
          </w:p>
        </w:tc>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2人间，水电费均摊</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2681"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食</w:t>
            </w:r>
          </w:p>
        </w:tc>
        <w:tc>
          <w:tcPr>
            <w:tcW w:w="3244"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免费下午茶、夜宵</w:t>
            </w:r>
          </w:p>
        </w:tc>
        <w:tc>
          <w:tcPr>
            <w:tcW w:w="2669"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7元</w:t>
            </w:r>
            <w:r>
              <w:rPr>
                <w:rStyle w:val="24"/>
                <w:rFonts w:ascii="微软雅黑" w:cs="微软雅黑" w:hAnsi="微软雅黑" w:hint="eastAsia"/>
                <w:color w:val="auto"/>
                <w:sz w:val="21"/>
                <w:szCs w:val="21"/>
                <w:lang w:val="en-US"/>
              </w:rPr>
              <w:t>/</w:t>
            </w:r>
            <w:r>
              <w:rPr>
                <w:rStyle w:val="25"/>
                <w:rFonts w:ascii="微软雅黑" w:eastAsia="微软雅黑" w:cs="微软雅黑" w:hAnsi="微软雅黑"/>
                <w:color w:val="auto"/>
                <w:sz w:val="21"/>
                <w:szCs w:val="21"/>
                <w:lang w:val="en-US"/>
              </w:rPr>
              <w:t>天餐补</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sz w:val="21"/>
                <w:szCs w:val="21"/>
              </w:rPr>
            </w:pPr>
            <w:r>
              <w:rPr>
                <w:rFonts w:hint="eastAsia"/>
                <w:sz w:val="21"/>
                <w:szCs w:val="21"/>
                <w:lang w:val="en-US"/>
              </w:rPr>
              <w:t>福利津贴</w:t>
            </w: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sz w:val="21"/>
                <w:szCs w:val="21"/>
              </w:rPr>
            </w:pPr>
            <w:r>
              <w:rPr>
                <w:rFonts w:hint="eastAsia"/>
                <w:sz w:val="21"/>
                <w:szCs w:val="21"/>
                <w:lang w:val="en-US"/>
              </w:rPr>
              <w:t>餐费津贴：约</w:t>
            </w:r>
            <w:r>
              <w:rPr>
                <w:rStyle w:val="26"/>
                <w:rFonts w:ascii="微软雅黑" w:eastAsia="微软雅黑" w:cs="微软雅黑" w:hAnsi="微软雅黑"/>
                <w:b w:val="0"/>
                <w:bCs w:val="0"/>
                <w:color w:val="auto"/>
                <w:sz w:val="21"/>
                <w:szCs w:val="21"/>
                <w:lang w:val="en-US"/>
              </w:rPr>
              <w:t>180</w:t>
            </w:r>
            <w:r>
              <w:rPr>
                <w:rStyle w:val="27"/>
                <w:rFonts w:ascii="微软雅黑" w:eastAsia="微软雅黑" w:cs="微软雅黑" w:hAnsi="微软雅黑"/>
                <w:color w:val="auto"/>
                <w:sz w:val="21"/>
                <w:szCs w:val="21"/>
                <w:lang w:val="en-US"/>
              </w:rPr>
              <w:t>元/月；</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sz w:val="21"/>
                <w:szCs w:val="21"/>
              </w:rPr>
            </w:pPr>
            <w:r>
              <w:rPr>
                <w:rFonts w:hint="eastAsia"/>
                <w:sz w:val="21"/>
                <w:szCs w:val="21"/>
                <w:lang w:val="en-US"/>
              </w:rPr>
              <w:t>高温津贴：每年4~9月按月发放，</w:t>
            </w:r>
            <w:r>
              <w:rPr>
                <w:rStyle w:val="26"/>
                <w:rFonts w:ascii="微软雅黑" w:eastAsia="微软雅黑" w:cs="微软雅黑" w:hAnsi="微软雅黑"/>
                <w:b w:val="0"/>
                <w:bCs w:val="0"/>
                <w:color w:val="auto"/>
                <w:sz w:val="21"/>
                <w:szCs w:val="21"/>
                <w:lang w:val="en-US"/>
              </w:rPr>
              <w:t>100</w:t>
            </w:r>
            <w:r>
              <w:rPr>
                <w:rStyle w:val="27"/>
                <w:rFonts w:ascii="微软雅黑" w:eastAsia="微软雅黑" w:cs="微软雅黑" w:hAnsi="微软雅黑"/>
                <w:color w:val="auto"/>
                <w:sz w:val="21"/>
                <w:szCs w:val="21"/>
                <w:lang w:val="en-US"/>
              </w:rPr>
              <w:t>元/月；</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sz w:val="21"/>
                <w:szCs w:val="21"/>
              </w:rPr>
            </w:pPr>
            <w:r>
              <w:rPr>
                <w:rFonts w:hint="eastAsia"/>
                <w:sz w:val="21"/>
                <w:szCs w:val="21"/>
                <w:lang w:val="en-US"/>
              </w:rPr>
              <w:t>住房津贴：未入住公司宿舍的员工可享受</w:t>
            </w:r>
            <w:r>
              <w:rPr>
                <w:rStyle w:val="26"/>
                <w:rFonts w:ascii="微软雅黑" w:eastAsia="微软雅黑" w:cs="微软雅黑" w:hAnsi="微软雅黑"/>
                <w:b w:val="0"/>
                <w:bCs w:val="0"/>
                <w:color w:val="auto"/>
                <w:sz w:val="21"/>
                <w:szCs w:val="21"/>
                <w:lang w:val="en-US"/>
              </w:rPr>
              <w:t>100</w:t>
            </w:r>
            <w:r>
              <w:rPr>
                <w:rStyle w:val="27"/>
                <w:rFonts w:ascii="微软雅黑" w:eastAsia="微软雅黑" w:cs="微软雅黑" w:hAnsi="微软雅黑"/>
                <w:color w:val="auto"/>
                <w:sz w:val="21"/>
                <w:szCs w:val="21"/>
                <w:lang w:val="en-US"/>
              </w:rPr>
              <w:t>元/月；</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sz w:val="21"/>
                <w:szCs w:val="21"/>
              </w:rPr>
            </w:pPr>
            <w:r>
              <w:rPr>
                <w:rFonts w:hint="eastAsia"/>
                <w:sz w:val="21"/>
                <w:szCs w:val="21"/>
                <w:lang w:val="en-US"/>
              </w:rPr>
              <w:t>交通津贴：入职满1年可享受</w:t>
            </w:r>
            <w:r>
              <w:rPr>
                <w:rStyle w:val="26"/>
                <w:rFonts w:ascii="微软雅黑" w:eastAsia="微软雅黑" w:cs="微软雅黑" w:hAnsi="微软雅黑"/>
                <w:b w:val="0"/>
                <w:bCs w:val="0"/>
                <w:color w:val="auto"/>
                <w:sz w:val="21"/>
                <w:szCs w:val="21"/>
                <w:lang w:val="en-US"/>
              </w:rPr>
              <w:t>100</w:t>
            </w:r>
            <w:r>
              <w:rPr>
                <w:rStyle w:val="27"/>
                <w:rFonts w:ascii="微软雅黑" w:eastAsia="微软雅黑" w:cs="微软雅黑" w:hAnsi="微软雅黑"/>
                <w:color w:val="auto"/>
                <w:sz w:val="21"/>
                <w:szCs w:val="21"/>
                <w:lang w:val="en-US"/>
              </w:rPr>
              <w:t>元/月；</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color w:val="000000"/>
                <w:sz w:val="21"/>
                <w:szCs w:val="21"/>
              </w:rPr>
            </w:pPr>
            <w:r>
              <w:rPr>
                <w:rFonts w:hint="eastAsia"/>
                <w:color w:val="000000"/>
                <w:sz w:val="21"/>
                <w:szCs w:val="21"/>
                <w:lang w:val="en-US"/>
              </w:rPr>
              <w:t>中晚班津贴、工龄津贴、保健津贴等各种津贴、带薪年休假、节日慰问品、定期体检等；</w:t>
            </w:r>
          </w:p>
        </w:tc>
      </w:tr>
      <w:tr>
        <w:trPr>
          <w:trHeight w:val="37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color w:val="000000"/>
                <w:sz w:val="21"/>
                <w:szCs w:val="21"/>
              </w:rPr>
            </w:pPr>
            <w:r>
              <w:rPr>
                <w:rFonts w:hint="eastAsia"/>
                <w:color w:val="000000"/>
                <w:sz w:val="21"/>
                <w:szCs w:val="21"/>
              </w:rPr>
              <w:t>五险一金</w:t>
            </w: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color w:val="000000"/>
                <w:sz w:val="21"/>
                <w:szCs w:val="21"/>
              </w:rPr>
            </w:pPr>
            <w:r>
              <w:rPr>
                <w:rFonts w:hint="eastAsia"/>
                <w:color w:val="000000"/>
                <w:sz w:val="21"/>
                <w:szCs w:val="21"/>
                <w:lang w:val="en-US"/>
              </w:rPr>
              <w:t>入职当月开始购买商业保险，毕业后签定正式劳动合同，将缴纳社保和公积金。</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color w:val="000000"/>
                <w:sz w:val="21"/>
                <w:szCs w:val="21"/>
              </w:rPr>
            </w:pPr>
            <w:r>
              <w:rPr>
                <w:rFonts w:hint="eastAsia"/>
                <w:color w:val="000000"/>
                <w:sz w:val="21"/>
                <w:szCs w:val="21"/>
                <w:lang w:val="en-US"/>
              </w:rPr>
              <w:t>员工食堂</w:t>
            </w: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color w:val="000000"/>
                <w:sz w:val="21"/>
                <w:szCs w:val="21"/>
              </w:rPr>
            </w:pPr>
            <w:r>
              <w:rPr>
                <w:rFonts w:hint="eastAsia"/>
                <w:color w:val="000000"/>
                <w:sz w:val="21"/>
                <w:szCs w:val="21"/>
                <w:lang w:val="en-US"/>
              </w:rPr>
              <w:t>设有员工食堂，菜系齐全，提供免费夏季清凉饮品、下午茶、夜宵等。</w:t>
            </w:r>
          </w:p>
        </w:tc>
      </w:tr>
      <w:tr>
        <w:trPr>
          <w:trHeight w:val="113"/>
        </w:trPr>
        <w:tc>
          <w:tcPr>
            <w:tcW w:w="73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tc>
        <w:tc>
          <w:tcPr>
            <w:tcW w:w="1065" w:type="dxa"/>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center"/>
              <w:textAlignment w:val="center"/>
              <w:rPr>
                <w:color w:val="000000"/>
                <w:sz w:val="21"/>
                <w:szCs w:val="21"/>
              </w:rPr>
            </w:pPr>
            <w:r>
              <w:rPr>
                <w:rFonts w:hint="eastAsia"/>
                <w:color w:val="000000"/>
                <w:sz w:val="21"/>
                <w:szCs w:val="21"/>
                <w:lang w:val="en-US"/>
              </w:rPr>
              <w:t>丰富的在职培训</w:t>
            </w:r>
          </w:p>
        </w:tc>
        <w:tc>
          <w:tcPr>
            <w:tcW w:w="8594" w:type="dxa"/>
            <w:gridSpan w:val="3"/>
            <w:tcBorders>
              <w:top w:val="single" w:sz="4" w:space="0" w:color="000000"/>
              <w:left w:val="single" w:sz="4" w:space="0" w:color="000000"/>
              <w:bottom w:val="single" w:sz="4" w:space="0" w:color="000000"/>
              <w:right w:val="single" w:sz="4" w:space="0" w:color="000000"/>
            </w:tcBorders>
            <w:shd w:val="clear" w:color="auto" w:fill="auto"/>
            <w:vAlign w:val="center"/>
          </w:tcPr>
          <w:p>
            <w:pPr>
              <w:widowControl/>
              <w:jc w:val="both"/>
              <w:textAlignment w:val="center"/>
              <w:rPr>
                <w:color w:val="000000"/>
                <w:sz w:val="21"/>
                <w:szCs w:val="21"/>
              </w:rPr>
            </w:pPr>
            <w:r>
              <w:rPr>
                <w:rFonts w:hint="eastAsia"/>
                <w:color w:val="000000"/>
                <w:sz w:val="21"/>
                <w:szCs w:val="21"/>
                <w:lang w:val="en-US"/>
              </w:rPr>
              <w:t>员工可自主选择公司内部开展的培训，如师带徒、特殊工种技能培训、班组长管理技能培训、成人学历教育、专业技能培训、通用管理培训等。</w:t>
            </w:r>
          </w:p>
        </w:tc>
      </w:tr>
    </w:tbl>
    <w:p>
      <w:pPr>
        <w:spacing w:before="55" w:after="54"/>
        <w:rPr>
          <w:b/>
          <w:sz w:val="28"/>
        </w:rPr>
      </w:pPr>
      <w:r>
        <w:rPr>
          <w:rFonts w:hint="eastAsia"/>
          <w:b/>
          <w:sz w:val="28"/>
          <w:lang w:val="en-US"/>
        </w:rPr>
        <w:t>四</w:t>
      </w:r>
      <w:r>
        <w:rPr>
          <w:b/>
          <w:sz w:val="28"/>
        </w:rPr>
        <w:t>、成长与发展</w:t>
      </w:r>
    </w:p>
    <w:tbl>
      <w:tblPr>
        <w:jc w:val="center"/>
        <w:tblW w:w="104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top w:w="0" w:type="dxa"/>
          <w:left w:w="0" w:type="dxa"/>
          <w:bottom w:w="0" w:type="dxa"/>
          <w:right w:w="0" w:type="dxa"/>
        </w:tblCellMar>
        <w:tblLook w:val="04A0" w:firstRow="1" w:lastRow="0" w:firstColumn="1" w:lastColumn="0" w:noHBand="0" w:noVBand="1"/>
      </w:tblPr>
      <w:tblGrid>
        <w:gridCol w:w="10458"/>
      </w:tblGrid>
      <w:tr>
        <w:trPr>
          <w:trHeight w:val="340"/>
        </w:trPr>
        <w:tc>
          <w:tcPr>
            <w:tcW w:w="10458" w:type="dxa"/>
          </w:tcPr>
          <w:p>
            <w:pPr>
              <w:pStyle w:val="20"/>
              <w:spacing w:line="380" w:lineRule="exact"/>
              <w:ind w:left="108" w:right="-17"/>
              <w:rPr>
                <w:b/>
                <w:bCs/>
                <w:spacing w:val="-9"/>
                <w:sz w:val="21"/>
                <w:szCs w:val="21"/>
              </w:rPr>
            </w:pPr>
            <w:r>
              <w:rPr>
                <w:rFonts w:hint="eastAsia"/>
                <w:b/>
                <w:bCs/>
                <w:spacing w:val="-9"/>
                <w:sz w:val="21"/>
                <w:szCs w:val="21"/>
              </w:rPr>
              <w:t>●多通道职业发展</w:t>
            </w:r>
          </w:p>
          <w:p>
            <w:pPr>
              <w:pStyle w:val="20"/>
              <w:spacing w:line="380" w:lineRule="exact"/>
              <w:ind w:left="108" w:right="-17"/>
              <w:rPr>
                <w:spacing w:val="-9"/>
                <w:sz w:val="21"/>
                <w:szCs w:val="21"/>
              </w:rPr>
            </w:pPr>
            <w:r>
              <w:rPr>
                <w:rFonts w:hint="eastAsia"/>
                <w:sz w:val="21"/>
                <w:szCs w:val="21"/>
              </w:rPr>
              <w:t>管理通道（技普工—班长—科员—科长—厂长）、专业通道（初级技工—中级技工—高级技工—技师—高级技师）</w:t>
            </w:r>
            <w:r>
              <w:rPr>
                <w:sz w:val="21"/>
                <w:szCs w:val="21"/>
              </w:rPr>
              <w:t>，结合自身发展规划选择发展路径</w:t>
            </w:r>
            <w:r>
              <w:rPr>
                <w:rFonts w:hint="eastAsia"/>
                <w:sz w:val="21"/>
                <w:szCs w:val="21"/>
              </w:rPr>
              <w:t>。</w:t>
            </w:r>
          </w:p>
        </w:tc>
      </w:tr>
      <w:tr>
        <w:trPr>
          <w:trHeight w:val="340"/>
        </w:trPr>
        <w:tc>
          <w:tcPr>
            <w:tcW w:w="10458" w:type="dxa"/>
          </w:tcPr>
          <w:p>
            <w:pPr>
              <w:pStyle w:val="20"/>
              <w:spacing w:line="380" w:lineRule="exact"/>
              <w:ind w:left="108" w:right="-17"/>
              <w:rPr>
                <w:b/>
                <w:bCs/>
                <w:spacing w:val="-9"/>
                <w:sz w:val="21"/>
                <w:szCs w:val="21"/>
              </w:rPr>
            </w:pPr>
            <w:r>
              <w:rPr>
                <w:rFonts w:hint="eastAsia"/>
                <w:b/>
                <w:bCs/>
                <w:spacing w:val="-9"/>
                <w:sz w:val="21"/>
                <w:szCs w:val="21"/>
              </w:rPr>
              <w:t>●全方位培训培养体系</w:t>
            </w:r>
          </w:p>
          <w:p>
            <w:pPr>
              <w:pStyle w:val="20"/>
              <w:spacing w:line="380" w:lineRule="exact"/>
              <w:ind w:left="108" w:right="-17"/>
              <w:rPr>
                <w:spacing w:val="-9"/>
                <w:sz w:val="21"/>
                <w:szCs w:val="21"/>
              </w:rPr>
            </w:pPr>
            <w:r>
              <w:rPr>
                <w:spacing w:val="-9"/>
                <w:sz w:val="21"/>
                <w:szCs w:val="21"/>
              </w:rPr>
              <w:t>建立分级培训培养计划，依托内部专题培训、自我开发学习、素质拓展训练等多种培训方式，全方位提升员工的综合能力和专业能力</w:t>
            </w:r>
          </w:p>
        </w:tc>
      </w:tr>
    </w:tbl>
    <w:p>
      <w:pPr>
        <w:rPr>
          <w:b/>
          <w:sz w:val="28"/>
        </w:rPr>
      </w:pPr>
      <w:r>
        <w:rPr>
          <w:rFonts w:hint="eastAsia"/>
          <w:b/>
          <w:sz w:val="28"/>
        </w:rPr>
        <w:t>五</w:t>
      </w:r>
      <w:r>
        <w:rPr>
          <w:b/>
          <w:sz w:val="28"/>
        </w:rPr>
        <w:t>、联系我们</w:t>
      </w:r>
    </w:p>
    <w:p>
      <w:pPr>
        <w:pStyle w:val="15"/>
        <w:spacing w:line="500" w:lineRule="exact"/>
        <w:ind w:right="5695"/>
        <w:rPr>
          <w:lang w:val="en-US"/>
        </w:rPr>
      </w:pPr>
      <w:r>
        <w:t>联系方式：</w:t>
      </w:r>
      <w:r>
        <w:rPr>
          <w:rFonts w:hint="eastAsia"/>
          <w:lang w:val="en-US"/>
        </w:rPr>
        <w:t>16626276138（王经理）</w:t>
      </w:r>
    </w:p>
    <w:p>
      <w:pPr>
        <w:pStyle w:val="15"/>
        <w:spacing w:line="500" w:lineRule="exact"/>
        <w:ind w:right="5695"/>
        <w:rPr>
          <w:lang w:val="en-US"/>
        </w:rPr>
      </w:pPr>
      <w:r>
        <w:rPr>
          <w:rFonts w:hint="eastAsia"/>
          <w:lang w:val="en-US"/>
        </w:rPr>
        <w:t xml:space="preserve">                 16626225765（庞经理）</w:t>
      </w:r>
    </w:p>
    <w:p>
      <w:pPr>
        <w:pStyle w:val="15"/>
        <w:spacing w:line="500" w:lineRule="exact"/>
        <w:rPr>
          <w:lang w:val="en-US"/>
        </w:rPr>
      </w:pPr>
      <w:r>
        <w:t>公司地址：</w:t>
      </w:r>
      <w:r>
        <w:rPr>
          <w:rFonts w:hint="eastAsia"/>
          <w:lang w:val="en-US"/>
        </w:rPr>
        <w:t>长沙市宁乡经济技术开发区永佳路168号</w:t>
      </w:r>
    </w:p>
    <w:p>
      <w:pPr>
        <w:pStyle w:val="15"/>
        <w:spacing w:line="360" w:lineRule="auto"/>
        <w:jc w:val="center"/>
        <w:rPr>
          <w:lang w:val="en-US"/>
        </w:rPr>
      </w:pPr>
      <w:r>
        <w:rPr>
          <w:b/>
          <w:sz w:val="21"/>
          <w:lang w:val="en-US" w:bidi="ar-SA"/>
        </w:rPr>
        <w:drawing>
          <wp:inline distT="0" distB="0" distL="114300" distR="114300">
            <wp:extent cx="1619250" cy="962660"/>
            <wp:effectExtent l="0" t="0" r="1" b="1"/>
            <wp:docPr id="1037" name="image4.jpeg" descr="C:\Users\雷梦\Desktop\招聘照片\微信图片_20211115200057.jpg微信图片_20211115200057"/>
            <wp:cNvGraphicFramePr>
              <a:graphicFrameLocks noChangeAspect="0"/>
            </wp:cNvGraphicFramePr>
            <a:graphic>
              <a:graphicData uri="http://schemas.openxmlformats.org/drawingml/2006/picture">
                <pic:pic>
                  <pic:nvPicPr>
                    <pic:cNvPr id="11" name="image4.jpeg 11"/>
                    <pic:cNvPicPr/>
                  </pic:nvPicPr>
                  <pic:blipFill>
                    <a:blip r:embed="rId3"/>
                    <a:stretch>
                      <a:fillRect/>
                    </a:stretch>
                  </pic:blipFill>
                  <pic:spPr>
                    <a:xfrm rot="0">
                      <a:off x="0" y="0"/>
                      <a:ext cx="1619250" cy="962660"/>
                    </a:xfrm>
                    <a:prstGeom prst="rect"/>
                    <a:noFill/>
                    <a:ln w="9525" cmpd="sng" cap="flat">
                      <a:noFill/>
                      <a:prstDash val="solid"/>
                      <a:miter/>
                    </a:ln>
                    <a:effectLst/>
                  </pic:spPr>
                </pic:pic>
              </a:graphicData>
            </a:graphic>
          </wp:inline>
        </w:drawing>
      </w:r>
      <w:r>
        <w:rPr>
          <w:lang w:val="en-US" w:bidi="ar-SA"/>
        </w:rPr>
        <w:drawing>
          <wp:inline distT="0" distB="0" distL="114300" distR="114300">
            <wp:extent cx="1619885" cy="961390"/>
            <wp:effectExtent l="0" t="0" r="0" b="0"/>
            <wp:docPr id="1038" name="Picture 2" descr="E:\长沙格力宣传照片\食堂1.jpg食堂1"/>
            <wp:cNvGraphicFramePr>
              <a:graphicFrameLocks noChangeAspect="0"/>
            </wp:cNvGraphicFramePr>
            <a:graphic>
              <a:graphicData uri="http://schemas.openxmlformats.org/drawingml/2006/picture">
                <pic:pic>
                  <pic:nvPicPr>
                    <pic:cNvPr id="13" name="Picture 2 13"/>
                    <pic:cNvPicPr/>
                  </pic:nvPicPr>
                  <pic:blipFill>
                    <a:blip r:embed="rId4"/>
                    <a:srcRect t="5566" b="5566"/>
                    <a:stretch>
                      <a:fillRect/>
                    </a:stretch>
                  </pic:blipFill>
                  <pic:spPr>
                    <a:xfrm rot="0">
                      <a:off x="0" y="0"/>
                      <a:ext cx="1619885" cy="961390"/>
                    </a:xfrm>
                    <a:prstGeom prst="rect"/>
                    <a:noFill/>
                    <a:ln w="9525" cmpd="sng" cap="flat">
                      <a:noFill/>
                      <a:prstDash val="solid"/>
                      <a:miter/>
                    </a:ln>
                    <a:effectLst/>
                  </pic:spPr>
                </pic:pic>
              </a:graphicData>
            </a:graphic>
          </wp:inline>
        </w:drawing>
      </w:r>
      <w:r>
        <w:rPr>
          <w:lang w:val="en-US" w:bidi="ar-SA"/>
        </w:rPr>
        <w:drawing>
          <wp:inline distT="0" distB="0" distL="114300" distR="114300">
            <wp:extent cx="1619885" cy="961390"/>
            <wp:effectExtent l="0" t="0" r="0" b="0"/>
            <wp:docPr id="1039" name="Picture 2" descr="C:\Users\931029\Desktop\mmexport1520759229039.jpg"/>
            <wp:cNvGraphicFramePr>
              <a:graphicFrameLocks noChangeAspect="0"/>
            </wp:cNvGraphicFramePr>
            <a:graphic>
              <a:graphicData uri="http://schemas.openxmlformats.org/drawingml/2006/picture">
                <pic:pic>
                  <pic:nvPicPr>
                    <pic:cNvPr id="15" name="Picture 2 15"/>
                    <pic:cNvPicPr/>
                  </pic:nvPicPr>
                  <pic:blipFill>
                    <a:blip r:embed="rId5"/>
                    <a:stretch>
                      <a:fillRect/>
                    </a:stretch>
                  </pic:blipFill>
                  <pic:spPr>
                    <a:xfrm rot="0">
                      <a:off x="0" y="0"/>
                      <a:ext cx="1619885" cy="961390"/>
                    </a:xfrm>
                    <a:prstGeom prst="rect"/>
                    <a:noFill/>
                    <a:ln w="9525" cmpd="sng" cap="flat">
                      <a:noFill/>
                      <a:prstDash val="solid"/>
                      <a:miter/>
                    </a:ln>
                    <a:effectLst/>
                  </pic:spPr>
                </pic:pic>
              </a:graphicData>
            </a:graphic>
          </wp:inline>
        </w:drawing>
      </w:r>
    </w:p>
    <w:p>
      <w:pPr>
        <w:pStyle w:val="15"/>
        <w:spacing w:line="360" w:lineRule="auto"/>
        <w:jc w:val="center"/>
        <w:rPr>
          <w:lang w:val="en-US"/>
        </w:rPr>
      </w:pPr>
      <w:r>
        <w:rPr>
          <w:rFonts w:hint="eastAsia"/>
          <w:lang w:val="en-US" w:bidi="ar-SA"/>
        </w:rPr>
        <w:drawing>
          <wp:inline distT="0" distB="0" distL="114300" distR="114300">
            <wp:extent cx="1619885" cy="961390"/>
            <wp:effectExtent l="0" t="0" r="0" b="0"/>
            <wp:docPr id="1040" name="图片 1040" descr="downloadfile (1)"/>
            <wp:cNvGraphicFramePr>
              <a:graphicFrameLocks noChangeAspect="0"/>
            </wp:cNvGraphicFramePr>
            <a:graphic>
              <a:graphicData uri="http://schemas.openxmlformats.org/drawingml/2006/picture">
                <pic:pic>
                  <pic:nvPicPr>
                    <pic:cNvPr id="17" name="图片 17"/>
                    <pic:cNvPicPr/>
                  </pic:nvPicPr>
                  <pic:blipFill>
                    <a:blip r:embed="rId6"/>
                    <a:stretch>
                      <a:fillRect/>
                    </a:stretch>
                  </pic:blipFill>
                  <pic:spPr>
                    <a:xfrm rot="0">
                      <a:off x="0" y="0"/>
                      <a:ext cx="1619885" cy="961390"/>
                    </a:xfrm>
                    <a:prstGeom prst="rect"/>
                    <a:noFill/>
                    <a:ln w="9525" cmpd="sng" cap="flat">
                      <a:noFill/>
                      <a:prstDash val="solid"/>
                      <a:miter/>
                    </a:ln>
                    <a:effectLst/>
                  </pic:spPr>
                </pic:pic>
              </a:graphicData>
            </a:graphic>
          </wp:inline>
        </w:drawing>
      </w:r>
      <w:r>
        <w:rPr>
          <w:rFonts w:hint="eastAsia"/>
          <w:lang w:val="en-US" w:bidi="ar-SA"/>
        </w:rPr>
        <w:drawing>
          <wp:inline distT="0" distB="0" distL="114300" distR="114300">
            <wp:extent cx="1619885" cy="961390"/>
            <wp:effectExtent l="0" t="0" r="0" b="0"/>
            <wp:docPr id="1041" name="图片 1041" descr="downloadfile (2)"/>
            <wp:cNvGraphicFramePr>
              <a:graphicFrameLocks noChangeAspect="0"/>
            </wp:cNvGraphicFramePr>
            <a:graphic>
              <a:graphicData uri="http://schemas.openxmlformats.org/drawingml/2006/picture">
                <pic:pic>
                  <pic:nvPicPr>
                    <pic:cNvPr id="19" name="图片 19"/>
                    <pic:cNvPicPr/>
                  </pic:nvPicPr>
                  <pic:blipFill>
                    <a:blip r:embed="rId7"/>
                    <a:stretch>
                      <a:fillRect/>
                    </a:stretch>
                  </pic:blipFill>
                  <pic:spPr>
                    <a:xfrm rot="0">
                      <a:off x="0" y="0"/>
                      <a:ext cx="1619885" cy="961390"/>
                    </a:xfrm>
                    <a:prstGeom prst="rect"/>
                    <a:noFill/>
                    <a:ln w="9525" cmpd="sng" cap="flat">
                      <a:noFill/>
                      <a:prstDash val="solid"/>
                      <a:miter/>
                    </a:ln>
                    <a:effectLst/>
                  </pic:spPr>
                </pic:pic>
              </a:graphicData>
            </a:graphic>
          </wp:inline>
        </w:drawing>
      </w:r>
      <w:r>
        <w:rPr>
          <w:rFonts w:hint="eastAsia"/>
          <w:lang w:val="en-US" w:bidi="ar-SA"/>
        </w:rPr>
        <w:drawing>
          <wp:inline distT="0" distB="0" distL="114300" distR="114300">
            <wp:extent cx="1619885" cy="961390"/>
            <wp:effectExtent l="0" t="0" r="0" b="0"/>
            <wp:docPr id="1042" name="图片 1042" descr="downloadfile (5)"/>
            <wp:cNvGraphicFramePr>
              <a:graphicFrameLocks noChangeAspect="0"/>
            </wp:cNvGraphicFramePr>
            <a:graphic>
              <a:graphicData uri="http://schemas.openxmlformats.org/drawingml/2006/picture">
                <pic:pic>
                  <pic:nvPicPr>
                    <pic:cNvPr id="21" name="图片 21"/>
                    <pic:cNvPicPr/>
                  </pic:nvPicPr>
                  <pic:blipFill>
                    <a:blip r:embed="rId8"/>
                    <a:stretch>
                      <a:fillRect/>
                    </a:stretch>
                  </pic:blipFill>
                  <pic:spPr>
                    <a:xfrm rot="0">
                      <a:off x="0" y="0"/>
                      <a:ext cx="1619885" cy="961390"/>
                    </a:xfrm>
                    <a:prstGeom prst="rect"/>
                    <a:noFill/>
                    <a:ln w="9525" cmpd="sng" cap="flat">
                      <a:noFill/>
                      <a:prstDash val="solid"/>
                      <a:miter/>
                    </a:ln>
                    <a:effectLst/>
                  </pic:spPr>
                </pic:pic>
              </a:graphicData>
            </a:graphic>
          </wp:inline>
        </w:drawing>
      </w:r>
    </w:p>
    <w:sectPr>
      <w:headerReference w:type="default" r:id="rId2"/>
      <w:pgSz w:w="11910" w:h="16840"/>
      <w:pgMar w:top="901" w:right="850" w:bottom="618" w:left="850" w:header="906" w:footer="0" w:gutter="0"/>
      <w:cols w:num="1" w:space="720"/>
      <w:docGrid w:type="lines" w:linePitch="312" w:charSpace="0"/>
    </w:sectPr>
  </w:body>
</w:document>
</file>

<file path=word/fontTable.xml><?xml version="1.0" encoding="utf-8"?>
<w:fonts xmlns:w="http://schemas.openxmlformats.org/wordprocessingml/2006/main" xmlns:r="http://schemas.openxmlformats.org/officeDocument/2006/relationships">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auto"/>
    <w:pitch w:val="variable"/>
    <w:sig w:usb0="00007A87" w:usb1="80000000" w:usb2="00000008" w:usb3="00000000" w:csb0="400001FF" w:csb1="FFFF0000"/>
  </w:font>
  <w:font w:name="黑体">
    <w:panose1 w:val="02010609060101010101"/>
    <w:charset w:val="86"/>
    <w:family w:val="auto"/>
    <w:pitch w:val="variable"/>
    <w:sig w:usb0="800002BF" w:usb1="38CF7CFA" w:usb2="00000016" w:usb3="00000000" w:csb0="00040001" w:csb1="00000000"/>
  </w:font>
  <w:font w:name="Calibri">
    <w:panose1 w:val="020F0502020204030204"/>
    <w:charset w:val="00"/>
    <w:family w:val="swiss"/>
    <w:pitch w:val="variable"/>
    <w:sig w:usb0="E10002FF" w:usb1="4000ACFF" w:usb2="00000009" w:usb3="00000000" w:csb0="0000019F" w:csb1="00000000"/>
  </w:font>
  <w:font w:name="华文宋体">
    <w:panose1 w:val="02010600040101010101"/>
    <w:charset w:val="86"/>
    <w:family w:val="auto"/>
    <w:pitch w:val="variable"/>
    <w:sig w:usb0="00000287" w:usb1="080F0000" w:usb2="00000010" w:usb3="00000000" w:csb0="0004009F" w:csb1="00000000"/>
  </w:font>
</w:fonts>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wp14="http://schemas.microsoft.com/office/word/2010/wordprocessingDrawing"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xmlns:wpsCustomData="http://www.wps.cn/officeDocument/2013/wpsCustomData" mc:Ignorable="w14 w15">
  <w:p>
    <w:pPr>
      <w:pStyle w:val="15"/>
      <w:spacing w:line="14" w:lineRule="auto"/>
      <w:rPr>
        <w:sz w:val="20"/>
      </w:rPr>
    </w:pPr>
    <w:r>
      <mc:AlternateContent>
        <mc:Choice Requires="wps">
          <w:drawing>
            <wp:anchor distT="0" distB="0" distL="114300" distR="114300" simplePos="0" relativeHeight="33" behindDoc="0" locked="0" layoutInCell="1" hidden="0" allowOverlap="1">
              <wp:simplePos x="0" y="0"/>
              <wp:positionH relativeFrom="page">
                <wp:posOffset>581659</wp:posOffset>
              </wp:positionH>
              <wp:positionV relativeFrom="page">
                <wp:posOffset>358140</wp:posOffset>
              </wp:positionV>
              <wp:extent cx="6330315" cy="509267"/>
              <wp:wrapNone/>
              <wp:docPr id="1043" name="组合 1043"/>
              <wp:cNvGraphicFramePr>
                <a:graphicFrameLocks noChangeAspect="0"/>
              </wp:cNvGraphicFramePr>
              <a:graphic>
                <a:graphicData uri="http://schemas.microsoft.com/office/word/2010/wordprocessingGroup">
                  <wpg:wgp>
                    <wpg:cNvPr id="1" name="组合 1"/>
                    <wpg:cNvGrpSpPr/>
                    <wpg:grpSpPr>
                      <a:xfrm rot="0">
                        <a:off x="0" y="0"/>
                        <a:ext cx="6330315" cy="509267"/>
                        <a:chOff x="0" y="0"/>
                        <a:chExt cx="6330315" cy="509267"/>
                      </a:xfrm>
                      <a:prstGeom prst="rect"/>
                      <a:solidFill>
                        <a:srgbClr val="FFFFFF"/>
                      </a:solidFill>
                      <a:ln w="9525" cmpd="sng" cap="flat">
                        <a:solidFill>
                          <a:srgbClr val="000000"/>
                        </a:solidFill>
                        <a:prstDash val="solid"/>
                        <a:miter/>
                      </a:ln>
                      <a:effectLst/>
                    </wpg:grpSpPr>
                    <wps:wsp>
                      <wps:cNvPr id="2" name="直接连接符 1 2"/>
                      <wps:cNvSpPr/>
                      <wps:spPr>
                        <a:xfrm rot="0">
                          <a:off x="66040" y="504"/>
                          <a:ext cx="6263639" cy="0"/>
                        </a:xfrm>
                        <a:prstGeom prst="line"/>
                        <a:noFill/>
                        <a:ln w="9144" cmpd="sng" cap="flat">
                          <a:solidFill>
                            <a:srgbClr val="000000"/>
                          </a:solidFill>
                          <a:prstDash val="solid"/>
                          <a:miter/>
                        </a:ln>
                        <a:effectLst/>
                      </wps:spPr>
                      <wps:bodyPr vert="horz" wrap="square" lIns="91440" tIns="45720" rIns="91440" bIns="45720" anchor="t" anchorCtr="0" upright="1">
                        <a:noAutofit/>
                      </wps:bodyPr>
                    </wps:wsp>
                    <pic:pic>
                      <pic:nvPicPr>
                        <pic:cNvPr id="4" name="Image 4"/>
                        <pic:cNvPicPr/>
                      </pic:nvPicPr>
                      <pic:blipFill>
                        <a:blip r:embed="rId1"/>
                        <a:stretch>
                          <a:fillRect/>
                        </a:stretch>
                      </pic:blipFill>
                      <pic:spPr>
                        <a:xfrm rot="0">
                          <a:off x="-634" y="0"/>
                          <a:ext cx="1685925" cy="495"/>
                        </a:xfrm>
                        <a:prstGeom prst="rect"/>
                        <a:noFill/>
                        <a:ln w="9525" cmpd="sng" cap="flat">
                          <a:noFill/>
                          <a:prstDash val="solid"/>
                          <a:miter/>
                        </a:ln>
                        <a:effectLst/>
                      </pic:spPr>
                    </pic:pic>
                    <wps:bodyPr vert="horz" wrap="square" lIns="91440" tIns="45720" rIns="91440" bIns="45720" anchor="t" anchorCtr="0" upright="1">
                      <a:noAutofit/>
                    </wps:bodyPr>
                  </wpg:wgp>
                </a:graphicData>
              </a:graphic>
            </wp:anchor>
          </w:drawing>
        </mc:Choice>
        <mc:Fallback>
          <w:pict>
            <v:group type="#_x0000_t1" id="组合 1043" o:spid="_x0000_s5" coordorigin="916,564" coordsize="9969,801" style="position:absolute;margin-left:45.8pt;margin-top:28.2pt;width:498.45pt;height:40.0998pt;z-index:33;mso-position-horizontal:absolute;mso-position-horizontal-relative:page;mso-position-vertical:absolute;mso-position-vertical-relative:page;">
              <v:line type="#_x0000_t20" id="直接连接符 1 2" o:spid="_x0000_s6" style="position:absolute;visibility:visible;" from="1020.0,564.79376" to="10883.999,564.79376" filled="f" stroked="t" strokeweight="0.72pt">
                <v:stroke color="#000000"/>
              </v:line>
              <v:shape type="#_x0000_t75" id="Image 4" o:spid="_x0000_s7" style="position:absolute;left:915;top:564;width:2655;height:0;" filled="f" stroked="f">
                <v:imagedata r:id="rId2" o:title="image7"/>
                <v:stroke color="#000000"/>
              </v:shape>
            </v:group>
          </w:pict>
        </mc:Fallback>
      </mc:AlternateContent>
    </w:r>
    <w:r>
      <mc:AlternateContent>
        <mc:Choice Requires="wps">
          <w:drawing>
            <wp:anchor distT="0" distB="0" distL="114300" distR="114300" simplePos="0" relativeHeight="2" behindDoc="1" locked="0" layoutInCell="1" hidden="0" allowOverlap="1">
              <wp:simplePos x="0" y="0"/>
              <wp:positionH relativeFrom="page">
                <wp:posOffset>5146040</wp:posOffset>
              </wp:positionH>
              <wp:positionV relativeFrom="page">
                <wp:posOffset>562609</wp:posOffset>
              </wp:positionV>
              <wp:extent cx="1449069" cy="260985"/>
              <wp:wrapNone/>
              <wp:docPr id="1027" name="文本框 1"/>
              <wp:cNvGraphicFramePr>
                <a:graphicFrameLocks noChangeAspect="0"/>
              </wp:cNvGraphicFramePr>
              <a:graphic>
                <a:graphicData uri="http://schemas.microsoft.com/office/word/2010/wordprocessingShape">
                  <wps:wsp>
                    <wps:cNvSpPr/>
                    <wps:spPr>
                      <a:xfrm rot="0">
                        <a:off x="0" y="0"/>
                        <a:ext cx="1449069" cy="260985"/>
                      </a:xfrm>
                      <a:prstGeom prst="rect"/>
                      <a:noFill/>
                      <a:ln w="9525" cmpd="sng" cap="flat">
                        <a:noFill/>
                        <a:prstDash val="solid"/>
                        <a:miter/>
                      </a:ln>
                      <a:effectLst/>
                    </wps:spPr>
                    <wps:txbx id="8">
                      <w:txbxContent>
                        <w:p>
                          <w:pPr>
                            <w:spacing w:line="411" w:lineRule="exact"/>
                            <w:ind w:left="20"/>
                            <w:rPr>
                              <w:b/>
                              <w:sz w:val="28"/>
                            </w:rPr>
                          </w:pPr>
                          <w:r>
                            <w:rPr>
                              <w:b/>
                              <w:color w:val="C00000"/>
                              <w:sz w:val="28"/>
                            </w:rPr>
                            <w:t>让世界爱上中国造</w:t>
                          </w:r>
                        </w:p>
                      </w:txbxContent>
                    </wps:txbx>
                    <wps:bodyPr vert="horz" wrap="square" lIns="0" tIns="0" rIns="0" bIns="0" anchor="t" anchorCtr="0" upright="1">
                      <a:noAutofit/>
                    </wps:bodyPr>
                  </wps:wsp>
                </a:graphicData>
              </a:graphic>
            </wp:anchor>
          </w:drawing>
        </mc:Choice>
        <mc:Fallback>
          <w:pict>
            <v:rect type="#_x0000_t1" id="文本框 1" o:spid="_x0000_s9" filled="f" stroked="f" style="position:absolute;margin-left:405.20004pt;margin-top:44.3pt;width:114.099976pt;height:20.550001pt;z-index:-12;mso-position-horizontal:absolute;mso-position-horizontal-relative:page;mso-position-vertical:absolute;mso-position-vertical-relative:page;mso-wrap-style:square;">
              <v:stroke color="#000000"/>
              <v:textbox id="855" inset="0mm,0mm,0mm,0mm" o:insetmode="custom" style="layout-flow:horizontal;v-text-anchor:top;">
                <w:txbxContent>
                  <w:p>
                    <w:pPr>
                      <w:spacing w:line="411" w:lineRule="exact"/>
                      <w:ind w:left="20"/>
                      <w:rPr>
                        <w:b/>
                        <w:sz w:val="28"/>
                      </w:rPr>
                    </w:pPr>
                    <w:r>
                      <w:rPr>
                        <w:b/>
                        <w:color w:val="C00000"/>
                        <w:sz w:val="28"/>
                      </w:rPr>
                      <w:t>让世界爱上中国造</w:t>
                    </w:r>
                  </w:p>
                </w:txbxContent>
              </v:textbox>
            </v:rect>
          </w:pict>
        </mc:Fallback>
      </mc:AlternateContent>
    </w:r>
  </w:p>
</w:hdr>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00"/>
  <w:bordersDoNotSurroundHeader/>
  <w:bordersDoNotSurroundFooter/>
  <w:defaultTabStop w:val="720"/>
  <w:drawingGridHorizontalSpacing w:val="110"/>
  <w:drawingGridVerticalSpacing w:val="156"/>
  <w:displayHorizontalDrawingGridEvery w:val="0"/>
  <w:displayVerticalDrawingGridEvery w:val="1"/>
  <w:noPunctuationKerning/>
  <w:compat>
    <w:ulTrailSpace/>
    <w:doNotExpandShiftReturn/>
    <w:doNotUseIndentAsNumberingTabStop/>
    <w:compatSetting w:name="compatibilityMode" w:uri="http://schemas.microsoft.com/office/word" w:val="12"/>
  </w:compat>
  <w:docVars>
    <w:docVar w:name="commondata" w:val="eyJoZGlkIjoiZjc4YmE3Nzg2MGMyY2QwZTFlYjFkOTlhOWFhMWMxOWEifQ=="/>
  </w:docVars>
  <m:mathPr>
    <m:mathFont m:val="Cambria Math"/>
    <m:brkBin m:val="before"/>
    <m:brkBinSub m:val="--"/>
    <m:smallFrac/>
    <m:dispDef/>
    <m:lMargin m:val="0"/>
    <m:rMargin m:val="0"/>
    <m:defJc m:val="centerGroup"/>
    <m:wrapIndent m:val="1440"/>
    <m:intLim m:val="subSup"/>
    <m:naryLim m:val="undOvr"/>
  </m:mathPr>
  <w:doNotIncludeSubdocsInStats/>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Arial"/>
        <w:lang w:val="en-US" w:eastAsia="zh-CN" w:bidi="ar-SA"/>
      </w:rPr>
    </w:rPrDefault>
    <w:pPrDefault/>
  </w:docDefaults>
  <w:style w:type="paragraph" w:default="1" w:styleId="0">
    <w:name w:val="Normal"/>
    <w:qFormat/>
    <w:pPr>
      <w:widowControl w:val="0"/>
      <w:autoSpaceDE w:val="0"/>
      <w:autoSpaceDN w:val="0"/>
    </w:pPr>
    <w:rPr>
      <w:rFonts w:ascii="微软雅黑" w:eastAsia="微软雅黑" w:cs="微软雅黑" w:hAnsi="微软雅黑"/>
      <w:sz w:val="22"/>
      <w:szCs w:val="22"/>
      <w:lang w:val="zh-CN" w:eastAsia="zh-CN" w:bidi="zh-CN"/>
    </w:rPr>
  </w:style>
  <w:style w:type="paragraph" w:styleId="1">
    <w:name w:val="heading 1"/>
    <w:qFormat/>
    <w:basedOn w:val="0"/>
    <w:next w:val="0"/>
    <w:link w:val="1Char"/>
    <w:pPr>
      <w:ind w:left="220"/>
      <w:outlineLvl w:val="0"/>
    </w:pPr>
    <w:rPr>
      <w:b/>
      <w:bCs/>
      <w:sz w:val="28"/>
      <w:szCs w:val="28"/>
    </w:rPr>
  </w:style>
  <w:style w:type="character" w:customStyle="1" w:styleId="1Char">
    <w:name w:val="heading 1 Char"/>
    <w:basedOn w:val="10"/>
    <w:link w:val="1"/>
    <w:rPr>
      <w:rFonts w:ascii="微软雅黑" w:eastAsia="微软雅黑" w:cs="微软雅黑" w:hAnsi="微软雅黑"/>
      <w:b/>
      <w:bCs/>
      <w:sz w:val="28"/>
      <w:szCs w:val="28"/>
      <w:lang w:val="zh-CN" w:eastAsia="zh-CN" w:bidi="zh-CN"/>
    </w:rPr>
  </w:style>
  <w:style w:type="paragraph" w:styleId="2">
    <w:name w:val="heading 2"/>
    <w:qFormat/>
    <w:basedOn w:val="0"/>
    <w:next w:val="0"/>
    <w:link w:val="2Char"/>
    <w:pPr>
      <w:keepNext/>
      <w:keepLines/>
      <w:spacing w:before="260" w:after="260" w:line="415" w:lineRule="auto"/>
      <w:outlineLvl w:val="1"/>
    </w:pPr>
    <w:rPr>
      <w:rFonts w:ascii="Times New Roman" w:eastAsia="黑体" w:hAnsi="Times New Roman"/>
      <w:b/>
      <w:bCs/>
      <w:sz w:val="32"/>
      <w:szCs w:val="32"/>
    </w:rPr>
  </w:style>
  <w:style w:type="character" w:customStyle="1" w:styleId="2Char">
    <w:name w:val="heading 2 Char"/>
    <w:basedOn w:val="10"/>
    <w:link w:val="2"/>
    <w:rPr>
      <w:rFonts w:ascii="Times New Roman" w:eastAsia="黑体" w:cs="微软雅黑" w:hAnsi="微软雅黑"/>
      <w:b/>
      <w:bCs/>
      <w:sz w:val="32"/>
      <w:szCs w:val="32"/>
      <w:lang w:val="zh-CN" w:eastAsia="zh-CN" w:bidi="zh-CN"/>
    </w:rPr>
  </w:style>
  <w:style w:type="paragraph" w:styleId="3">
    <w:name w:val="heading 3"/>
    <w:qFormat/>
    <w:basedOn w:val="0"/>
    <w:next w:val="0"/>
    <w:link w:val="3Char"/>
    <w:pPr>
      <w:keepNext/>
      <w:keepLines/>
      <w:spacing w:before="260" w:after="260" w:line="415" w:lineRule="auto"/>
      <w:outlineLvl w:val="2"/>
    </w:pPr>
    <w:rPr>
      <w:b/>
      <w:bCs/>
      <w:sz w:val="32"/>
      <w:szCs w:val="32"/>
    </w:rPr>
  </w:style>
  <w:style w:type="character" w:customStyle="1" w:styleId="3Char">
    <w:name w:val="heading 3 Char"/>
    <w:basedOn w:val="10"/>
    <w:link w:val="3"/>
    <w:rPr>
      <w:rFonts w:ascii="微软雅黑" w:eastAsia="微软雅黑" w:cs="微软雅黑" w:hAnsi="微软雅黑"/>
      <w:b/>
      <w:bCs/>
      <w:sz w:val="32"/>
      <w:szCs w:val="32"/>
      <w:lang w:val="zh-CN" w:eastAsia="zh-CN" w:bidi="zh-CN"/>
    </w:rPr>
  </w:style>
  <w:style w:type="character" w:default="1" w:styleId="10">
    <w:name w:val="Default Paragraph Font"/>
    <w:qFormat/>
  </w:style>
  <w:style w:type="paragraph" w:styleId="15">
    <w:name w:val="Body Text"/>
    <w:qFormat/>
    <w:basedOn w:val="0"/>
    <w:rPr>
      <w:sz w:val="24"/>
      <w:szCs w:val="24"/>
    </w:rPr>
  </w:style>
  <w:style w:type="paragraph" w:styleId="16">
    <w:name w:val="Balloon Text"/>
    <w:qFormat/>
    <w:basedOn w:val="0"/>
    <w:rPr>
      <w:sz w:val="18"/>
      <w:szCs w:val="18"/>
    </w:rPr>
  </w:style>
  <w:style w:type="paragraph" w:styleId="17">
    <w:name w:val="footer"/>
    <w:qFormat/>
    <w:basedOn w:val="0"/>
    <w:pPr>
      <w:tabs>
        <w:tab w:val="center" w:pos="4153"/>
        <w:tab w:val="right" w:pos="8306"/>
      </w:tabs>
      <w:snapToGrid w:val="0"/>
    </w:pPr>
    <w:rPr>
      <w:sz w:val="18"/>
    </w:rPr>
  </w:style>
  <w:style w:type="paragraph" w:styleId="18">
    <w:name w:val="header"/>
    <w:qFormat/>
    <w:basedOn w:val="0"/>
    <w:pPr>
      <w:pBdr>
        <w:bottom w:val="single" w:sz="6" w:space="1" w:color="auto"/>
      </w:pBdr>
      <w:tabs>
        <w:tab w:val="center" w:pos="4153"/>
        <w:tab w:val="right" w:pos="8306"/>
      </w:tabs>
      <w:snapToGrid w:val="0"/>
      <w:jc w:val="center"/>
    </w:pPr>
    <w:rPr>
      <w:sz w:val="18"/>
      <w:szCs w:val="18"/>
    </w:rPr>
  </w:style>
  <w:style w:type="paragraph" w:styleId="19">
    <w:name w:val="List Paragraph"/>
    <w:qFormat/>
    <w:basedOn w:val="0"/>
  </w:style>
  <w:style w:type="paragraph" w:customStyle="1" w:yozoId="4094" w:styleId="20">
    <w:name w:val="Table Paragraph"/>
    <w:qFormat/>
    <w:basedOn w:val="0"/>
  </w:style>
  <w:style w:type="character" w:customStyle="1" w:yozoId="4094" w:styleId="21">
    <w:name w:val="font11"/>
    <w:qFormat/>
    <w:basedOn w:val="10"/>
    <w:rPr>
      <w:rFonts w:ascii="微软雅黑" w:eastAsia="微软雅黑" w:cs="微软雅黑" w:hAnsi="微软雅黑"/>
      <w:color w:val="000000"/>
      <w:sz w:val="18"/>
      <w:szCs w:val="18"/>
      <w:u w:val="none"/>
    </w:rPr>
  </w:style>
  <w:style w:type="character" w:customStyle="1" w:yozoId="4094" w:styleId="22">
    <w:name w:val="font51"/>
    <w:qFormat/>
    <w:basedOn w:val="10"/>
    <w:rPr>
      <w:rFonts w:ascii="Calibri" w:cs="Calibri" w:hAnsi="Calibri"/>
      <w:b/>
      <w:bCs/>
      <w:color w:val="FF0000"/>
      <w:sz w:val="22"/>
      <w:szCs w:val="22"/>
      <w:u w:val="none"/>
    </w:rPr>
  </w:style>
  <w:style w:type="character" w:customStyle="1" w:yozoId="4094" w:styleId="23">
    <w:name w:val="font21"/>
    <w:qFormat/>
    <w:basedOn w:val="10"/>
    <w:rPr>
      <w:rFonts w:ascii="宋体" w:eastAsia="宋体" w:cs="宋体" w:hAnsi="宋体"/>
      <w:b/>
      <w:bCs/>
      <w:color w:val="FF0000"/>
      <w:sz w:val="22"/>
      <w:szCs w:val="22"/>
      <w:u w:val="none"/>
    </w:rPr>
  </w:style>
  <w:style w:type="character" w:customStyle="1" w:yozoId="4094" w:styleId="24">
    <w:name w:val="font61"/>
    <w:qFormat/>
    <w:basedOn w:val="10"/>
    <w:rPr>
      <w:rFonts w:ascii="Calibri" w:cs="Calibri" w:hAnsi="Calibri"/>
      <w:color w:val="000000"/>
      <w:sz w:val="22"/>
      <w:szCs w:val="22"/>
      <w:u w:val="none"/>
    </w:rPr>
  </w:style>
  <w:style w:type="character" w:customStyle="1" w:yozoId="4094" w:styleId="25">
    <w:name w:val="font31"/>
    <w:qFormat/>
    <w:basedOn w:val="10"/>
    <w:rPr>
      <w:rFonts w:ascii="宋体" w:eastAsia="宋体" w:cs="宋体" w:hAnsi="宋体"/>
      <w:color w:val="000000"/>
      <w:sz w:val="22"/>
      <w:szCs w:val="22"/>
      <w:u w:val="none"/>
    </w:rPr>
  </w:style>
  <w:style w:type="character" w:customStyle="1" w:yozoId="4094" w:styleId="26">
    <w:name w:val="font71"/>
    <w:qFormat/>
    <w:basedOn w:val="10"/>
    <w:rPr>
      <w:rFonts w:ascii="华文宋体" w:eastAsia="华文宋体" w:cs="华文宋体" w:hAnsi="华文宋体"/>
      <w:b/>
      <w:bCs/>
      <w:color w:val="FF0000"/>
      <w:sz w:val="22"/>
      <w:szCs w:val="22"/>
      <w:u w:val="none"/>
    </w:rPr>
  </w:style>
  <w:style w:type="character" w:customStyle="1" w:yozoId="4094" w:styleId="27">
    <w:name w:val="font41"/>
    <w:qFormat/>
    <w:basedOn w:val="10"/>
    <w:rPr>
      <w:rFonts w:ascii="华文宋体" w:eastAsia="华文宋体" w:cs="华文宋体" w:hAnsi="华文宋体"/>
      <w:color w:val="000000"/>
      <w:sz w:val="22"/>
      <w:szCs w:val="22"/>
      <w:u w:val="none"/>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image" Target="media/10.jpeg"/><Relationship Id="rId4" Type="http://schemas.openxmlformats.org/officeDocument/2006/relationships/image" Target="media/12.jpeg"/><Relationship Id="rId5" Type="http://schemas.openxmlformats.org/officeDocument/2006/relationships/image" Target="media/14.jpeg"/><Relationship Id="rId6" Type="http://schemas.openxmlformats.org/officeDocument/2006/relationships/image" Target="media/16.jpeg"/><Relationship Id="rId7" Type="http://schemas.openxmlformats.org/officeDocument/2006/relationships/image" Target="media/18.jpeg"/><Relationship Id="rId8" Type="http://schemas.openxmlformats.org/officeDocument/2006/relationships/image" Target="media/20.jpeg"/><Relationship Id="rId9" Type="http://schemas.openxmlformats.org/officeDocument/2006/relationships/styles" Target="styles.xml"/><Relationship Id="rId10" Type="http://schemas.openxmlformats.org/officeDocument/2006/relationships/fontTable" Target="fontTable.xml"/><Relationship Id="rId11" Type="http://schemas.openxmlformats.org/officeDocument/2006/relationships/customXml" Target="../customXml/item1.xml"/><Relationship Id="rId1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3.jpeg"/><Relationship Id="rId2" Type="http://schemas.openxmlformats.org/officeDocument/2006/relationships/image" Target="media/3.jpeg"/></Relationships>
</file>

<file path=word/theme/theme1.xml><?xml version="1.0" encoding="utf-8"?>
<a:theme xmlns:a="http://schemas.openxmlformats.org/drawingml/2006/main" name="Office Theme">
  <a:themeElements>
    <a:clrScheme name="Office The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Theme">
      <a:majorFont>
        <a:latin typeface=""/>
        <a:ea typeface=""/>
        <a:cs typeface=""/>
      </a:majorFont>
      <a:minorFont>
        <a:latin typeface=""/>
        <a:ea typeface=""/>
        <a:cs typefac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1"/>
        </a:gradFill>
      </a:fillStyleLst>
      <a:lnStyleLst>
        <a:ln w="9525" cmpd="sng" cap="flat">
          <a:solidFill>
            <a:schemeClr val="phClr">
              <a:shade val="95000"/>
              <a:satMod val="105000"/>
            </a:schemeClr>
          </a:solidFill>
          <a:prstDash val="solid"/>
          <a:round/>
        </a:ln>
        <a:ln w="25400" cmpd="sng" cap="flat">
          <a:solidFill>
            <a:schemeClr val="phClr"/>
          </a:solidFill>
          <a:prstDash val="solid"/>
          <a:round/>
        </a:ln>
        <a:ln w="38100" cmpd="sng" cap="flat">
          <a:solidFill>
            <a:schemeClr val="phClr"/>
          </a:solidFill>
          <a:prstDash val="solid"/>
          <a:round/>
        </a:ln>
      </a:lnStyleLst>
      <a:effectStyleLst>
        <a:effectStyle>
          <a:effectLst>
            <a:outerShdw sx="100000" sy="100000" algn="b" rotWithShape="0" blurRad="40000" dist="20000" dir="5400000">
              <a:srgbClr val="000000">
                <a:alpha val="37647"/>
              </a:srgbClr>
            </a:outerShdw>
          </a:effectLst>
        </a:effectStyle>
        <a:effectStyle>
          <a:effectLst>
            <a:outerShdw sx="100000" sy="100000" algn="b" rotWithShape="0" blurRad="40000" dist="23000" dir="5400000">
              <a:srgbClr val="000000">
                <a:alpha val="34509"/>
              </a:srgbClr>
            </a:outerShdw>
          </a:effectLst>
        </a:effectStyle>
        <a:effectStyle>
          <a:effectLst>
            <a:outerShdw sx="100000" sy="100000" algn="b" rotWithShape="0" blurRad="40000" dist="23000" dir="5400000">
              <a:srgbClr val="000000">
                <a:alpha val="34509"/>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50000" r="50000" b="5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ustomData xmlns="http://www.yozosoft.com.cn/officeDocument/2016/customData">
  <customProps>
    <docPr revisions="3 0 5 0 0 0 1 0 0 0 26650 1 1 1 1 1"/>
    <sectPr/>
  </customProps>
</customData>
</file>

<file path=customXml/itemProps1.xml><?xml version="1.0" encoding="utf-8"?>
<ds:datastoreItem xmlns:ds="http://schemas.openxmlformats.org/officeDocument/2006/customXml" ds:itemID="{E13B17B7-5D8E-492E-989D-3CCCCDDBECE9}">
  <ds:schemaRefs>
    <ds:schemaRef ds:uri="http://www.yozosoft.com.cn/officeDocument/2016/customData"/>
  </ds:schemaRefs>
</ds:datastoreItem>
</file>

<file path=docProps/app.xml><?xml version="1.0" encoding="utf-8"?>
<Properties xmlns="http://schemas.openxmlformats.org/officeDocument/2006/extended-properties">
  <Template>Normal.eit</Template>
  <TotalTime>17</TotalTime>
  <Application>Yozo_Office9.2.7694.102ZH.GD04</Application>
  <Pages>2</Pages>
  <Words>0</Words>
  <Characters>1114</Characters>
  <Lines>0</Lines>
  <Paragraphs>18</Paragraphs>
  <CharactersWithSpaces>1486</CharactersWithSpaces>
  <Company>GREE</Company>
</Properties>
</file>

<file path=docProps/core.xml><?xml version="1.0" encoding="utf-8"?>
<cp:coreProperties xmlns:cp="http://schemas.openxmlformats.org/package/2006/metadata/core-properties" xmlns:dc="http://purl.org/dc/elements/1.1/" xmlns:dcterms="http://purl.org/dc/terms/" xmlns:xsi="http://www.w3.org/2001/XMLSchema-instance">
  <dc:creator>王颖超(人力部)</dc:creator>
  <cp:lastModifiedBy>931066</cp:lastModifiedBy>
  <cp:revision>4</cp:revision>
  <cp:lastPrinted>2023-05-09T02:42:00Z</cp:lastPrinted>
  <dcterms:created xsi:type="dcterms:W3CDTF">2023-05-09T02:43:00Z</dcterms:created>
  <dcterms:modified xsi:type="dcterms:W3CDTF">2026-09-30T02:54:24Z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Created">
    <vt:filetime>2021-11-15T16:00:00Z</vt:filetime>
  </property>
  <property fmtid="{D5CDD505-2E9C-101B-9397-08002B2CF9AE}" pid="3" name="Creator">
    <vt:lpwstr>WPS 文字</vt:lpwstr>
  </property>
  <property fmtid="{D5CDD505-2E9C-101B-9397-08002B2CF9AE}" pid="4" name="LastSaved">
    <vt:filetime>2021-11-21T16:00:00Z</vt:filetime>
  </property>
  <property fmtid="{D5CDD505-2E9C-101B-9397-08002B2CF9AE}" pid="5" name="KSOProductBuildVer">
    <vt:lpwstr>2052-11.8.2.11718</vt:lpwstr>
  </property>
  <property fmtid="{D5CDD505-2E9C-101B-9397-08002B2CF9AE}" pid="6" name="ICV">
    <vt:lpwstr>BC0C12D581F74C5E825E5B664D862207</vt:lpwstr>
  </property>
</Properties>
</file>