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14:paraId="75FC2428">
      <w:pPr>
        <w:pStyle w:val="style0"/>
        <w:snapToGrid w:val="false"/>
        <w:spacing w:lineRule="exact" w:line="560"/>
        <w:jc w:val="center"/>
        <w:textAlignment w:val="baseline"/>
        <w:rPr>
          <w:rFonts w:ascii="方正小标宋简体" w:eastAsia="方正小标宋简体" w:hAnsi="Times New Roman"/>
          <w:bCs/>
          <w:sz w:val="44"/>
          <w:szCs w:val="44"/>
        </w:rPr>
      </w:pPr>
      <w:r>
        <w:rPr>
          <w:rFonts w:ascii="方正小标宋简体" w:eastAsia="方正小标宋简体" w:hAnsi="Times New Roman" w:hint="eastAsia"/>
          <w:bCs/>
          <w:sz w:val="44"/>
          <w:szCs w:val="44"/>
        </w:rPr>
        <w:t>航天科工空天动力研究院（苏州）有限责任公司智能制造生产中心招聘启事</w:t>
      </w:r>
    </w:p>
    <w:p w14:paraId="264E4831">
      <w:pPr>
        <w:pStyle w:val="style0"/>
        <w:snapToGrid w:val="false"/>
        <w:spacing w:lineRule="exact" w:line="560"/>
        <w:ind w:firstLine="640" w:firstLineChars="200"/>
        <w:textAlignment w:val="baseline"/>
        <w:rPr>
          <w:rFonts w:ascii="仿宋_GB2312" w:eastAsia="仿宋_GB2312" w:hAnsi="Times New Roman"/>
          <w:sz w:val="32"/>
        </w:rPr>
      </w:pPr>
      <w:r>
        <w:rPr>
          <w:rFonts w:ascii="黑体" w:eastAsia="黑体" w:hAnsi="黑体" w:hint="eastAsia"/>
          <w:bCs/>
          <w:sz w:val="32"/>
          <w:szCs w:val="32"/>
        </w:rPr>
        <w:t>一、单位简介</w:t>
      </w:r>
      <w:r>
        <w:rPr>
          <w:rFonts w:ascii="仿宋_GB2312" w:eastAsia="仿宋_GB2312" w:hAnsi="Times New Roman" w:hint="eastAsia"/>
          <w:bCs/>
          <w:sz w:val="32"/>
          <w:szCs w:val="32"/>
        </w:rPr>
        <w:cr/>
      </w:r>
      <w:r>
        <w:rPr>
          <w:rFonts w:ascii="仿宋_GB2312" w:eastAsia="仿宋_GB2312" w:hAnsi="Times New Roman" w:hint="eastAsia"/>
          <w:bCs/>
          <w:sz w:val="32"/>
          <w:szCs w:val="32"/>
        </w:rPr>
        <w:t xml:space="preserve">    中国航天科工集团三院三十一所创建于1957年，是中国航空航天动力领域的核心优势单位。承担飞行器用冲压发动机、涡轮发动机、活塞发动机、固体火箭发动机、组合及其他新型发动机的研制与生产。多项武器装备研制技术处于国际领先水平，获国家科学技术进步特等奖</w:t>
      </w:r>
      <w:bookmarkStart w:id="0" w:name="_GoBack"/>
      <w:r>
        <w:rPr>
          <w:rFonts w:ascii="仿宋_GB2312" w:eastAsia="仿宋_GB2312" w:hAnsi="Times New Roman" w:hint="eastAsia"/>
          <w:bCs/>
          <w:sz w:val="32"/>
          <w:szCs w:val="32"/>
        </w:rPr>
        <w:t>3项，国防科技进步特等奖5项，其他国家及省部级奖励30</w:t>
      </w:r>
      <w:bookmarkEnd w:id="0"/>
      <w:r>
        <w:rPr>
          <w:rFonts w:ascii="仿宋_GB2312" w:eastAsia="仿宋_GB2312" w:hAnsi="Times New Roman" w:hint="eastAsia"/>
          <w:bCs/>
          <w:sz w:val="32"/>
          <w:szCs w:val="32"/>
        </w:rPr>
        <w:t>0余项。现有国家级、省部级专家30余人。研究员100余人、高级工程师500余人，全国技术能手7人，特级、高级技师18人。</w:t>
      </w:r>
    </w:p>
    <w:p w14:paraId="6D6EBD28">
      <w:pPr>
        <w:pStyle w:val="style0"/>
        <w:snapToGrid w:val="false"/>
        <w:spacing w:lineRule="exact" w:line="560"/>
        <w:ind w:firstLine="640" w:firstLineChars="200"/>
        <w:textAlignment w:val="baseline"/>
        <w:rPr>
          <w:rFonts w:ascii="仿宋_GB2312" w:eastAsia="仿宋_GB2312" w:hAnsi="Times New Roman"/>
          <w:bCs/>
          <w:sz w:val="32"/>
          <w:szCs w:val="32"/>
        </w:rPr>
      </w:pPr>
      <w:r>
        <w:rPr>
          <w:rFonts w:ascii="仿宋_GB2312" w:eastAsia="仿宋_GB2312" w:hAnsi="Times New Roman" w:hint="eastAsia"/>
          <w:bCs/>
          <w:sz w:val="32"/>
          <w:szCs w:val="32"/>
        </w:rPr>
        <w:t>航天科工空天动力研究院（苏州）有限责任公司，成立于2021年12月24日，位于苏相合作区（漕湖），公司注册资金2.3亿元，总占地面积364亩，是由中国航天科工集团三十一研究所出资控股、苏州漕湖投资控股有限公司和苏州工业园区产业投资基金联合出资成立的国资企业。企业以建设具有国际影响力的空天动力装备研究院公司、面向全球提供高品质空天动力技术产品服务为使命愿景，重点发展航空活塞动力、新型能源动力、机电液一体化产品和高端智能制造四大产业领域，规划发展成为国家级示范性军民两用技术产业化平台、创建国际技术创新合作载体、打造数字化智能制造基地。</w:t>
      </w:r>
    </w:p>
    <w:p w14:paraId="710137B5">
      <w:pPr>
        <w:pStyle w:val="style0"/>
        <w:snapToGrid w:val="false"/>
        <w:spacing w:lineRule="exact" w:line="560"/>
        <w:ind w:firstLine="640" w:firstLineChars="200"/>
        <w:textAlignment w:val="baseline"/>
        <w:rPr>
          <w:rFonts w:ascii="仿宋_GB2312" w:eastAsia="仿宋_GB2312" w:hAnsi="Times New Roman"/>
          <w:bCs/>
          <w:sz w:val="32"/>
          <w:szCs w:val="32"/>
        </w:rPr>
      </w:pPr>
      <w:r>
        <w:rPr>
          <w:rFonts w:ascii="仿宋_GB2312" w:eastAsia="仿宋_GB2312" w:hAnsi="Times New Roman" w:hint="eastAsia"/>
          <w:bCs/>
          <w:sz w:val="32"/>
          <w:szCs w:val="32"/>
        </w:rPr>
        <w:t>本启事主要针对苏州智能制造生产中心岗位进行招聘，苏州智能制造生产中心成立于2021年9月14日，现隶属于航天科工空天动力研究院（苏州）有限责任公司。工作地点在苏州市相城区平谦国际（苏相）科学产业园，主要承担发动机的生产制造任务，现就有关招聘事宜发布如下：</w:t>
      </w:r>
    </w:p>
    <w:p w14:paraId="646A67F9">
      <w:pPr>
        <w:pStyle w:val="style0"/>
        <w:adjustRightInd w:val="false"/>
        <w:snapToGrid w:val="false"/>
        <w:spacing w:lineRule="exact" w:line="560"/>
        <w:ind w:firstLine="640" w:firstLineChars="200"/>
        <w:rPr>
          <w:rFonts w:ascii="黑体" w:eastAsia="黑体" w:hAnsi="黑体"/>
          <w:bCs/>
          <w:sz w:val="32"/>
          <w:szCs w:val="32"/>
        </w:rPr>
      </w:pPr>
      <w:r>
        <w:rPr>
          <w:rFonts w:ascii="黑体" w:eastAsia="黑体" w:hAnsi="黑体" w:hint="eastAsia"/>
          <w:bCs/>
          <w:sz w:val="32"/>
          <w:szCs w:val="32"/>
        </w:rPr>
        <w:t>二、岗位需求、任职资格及待遇</w:t>
      </w:r>
    </w:p>
    <w:tbl>
      <w:tblPr>
        <w:tblStyle w:val="style154"/>
        <w:tblW w:w="9059" w:type="dxa"/>
        <w:tblInd w:w="-459" w:type="dxa"/>
        <w:tblLayout w:type="fixed"/>
        <w:tblLook w:val="0400" w:firstRow="0" w:lastRow="0" w:firstColumn="0" w:lastColumn="0" w:noHBand="0" w:noVBand="1"/>
      </w:tblPr>
      <w:tblGrid>
        <w:gridCol w:w="569"/>
        <w:gridCol w:w="1370"/>
        <w:gridCol w:w="480"/>
        <w:gridCol w:w="1397"/>
        <w:gridCol w:w="1102"/>
        <w:gridCol w:w="1362"/>
        <w:gridCol w:w="2779"/>
      </w:tblGrid>
      <w:tr w14:paraId="7F7E8377">
        <w:trPr>
          <w:trHeight w:val="285" w:hRule="atLeast"/>
        </w:trPr>
        <w:tc>
          <w:tcPr>
            <w:tcW w:w="569" w:type="dxa"/>
            <w:tcBorders>
              <w:top w:val="single" w:sz="4" w:space="0" w:color="000000"/>
              <w:left w:val="single" w:sz="4" w:space="0" w:color="000000"/>
              <w:bottom w:val="single" w:sz="4" w:space="0" w:color="000000"/>
              <w:right w:val="single" w:sz="4" w:space="0" w:color="000000"/>
            </w:tcBorders>
            <w:vAlign w:val="center"/>
          </w:tcPr>
          <w:p w14:paraId="58BD01BE">
            <w:pPr>
              <w:pStyle w:val="style0"/>
              <w:widowControl/>
              <w:adjustRightInd w:val="false"/>
              <w:snapToGrid w:val="false"/>
              <w:jc w:val="center"/>
              <w:rPr>
                <w:rFonts w:ascii="黑体" w:eastAsia="黑体" w:hAnsi="黑体"/>
                <w:b/>
                <w:bCs/>
                <w:color w:val="000000"/>
                <w:kern w:val="0"/>
                <w:szCs w:val="21"/>
              </w:rPr>
            </w:pPr>
            <w:r>
              <w:rPr>
                <w:rFonts w:ascii="黑体" w:eastAsia="黑体" w:hAnsi="黑体" w:hint="eastAsia"/>
                <w:b/>
                <w:bCs/>
                <w:color w:val="000000"/>
                <w:kern w:val="0"/>
                <w:szCs w:val="21"/>
              </w:rPr>
              <w:t>序号</w:t>
            </w:r>
          </w:p>
        </w:tc>
        <w:tc>
          <w:tcPr>
            <w:tcW w:w="1370" w:type="dxa"/>
            <w:tcBorders>
              <w:top w:val="single" w:sz="4" w:space="0" w:color="000000"/>
              <w:left w:val="single" w:sz="4" w:space="0" w:color="000000"/>
              <w:bottom w:val="single" w:sz="4" w:space="0" w:color="000000"/>
              <w:right w:val="single" w:sz="4" w:space="0" w:color="000000"/>
            </w:tcBorders>
            <w:vAlign w:val="center"/>
          </w:tcPr>
          <w:p w14:paraId="259A9784">
            <w:pPr>
              <w:pStyle w:val="style0"/>
              <w:widowControl/>
              <w:adjustRightInd w:val="false"/>
              <w:snapToGrid w:val="false"/>
              <w:jc w:val="center"/>
              <w:rPr>
                <w:rFonts w:ascii="黑体" w:eastAsia="黑体" w:hAnsi="黑体"/>
                <w:b/>
                <w:bCs/>
                <w:color w:val="000000"/>
                <w:kern w:val="0"/>
                <w:szCs w:val="21"/>
              </w:rPr>
            </w:pPr>
            <w:r>
              <w:rPr>
                <w:rFonts w:ascii="黑体" w:eastAsia="黑体" w:hAnsi="黑体" w:hint="eastAsia"/>
                <w:b/>
                <w:bCs/>
                <w:color w:val="000000"/>
                <w:kern w:val="0"/>
                <w:szCs w:val="21"/>
              </w:rPr>
              <w:t>岗位</w:t>
            </w:r>
          </w:p>
        </w:tc>
        <w:tc>
          <w:tcPr>
            <w:tcW w:w="480" w:type="dxa"/>
            <w:tcBorders>
              <w:top w:val="single" w:sz="4" w:space="0" w:color="000000"/>
              <w:left w:val="single" w:sz="4" w:space="0" w:color="000000"/>
              <w:bottom w:val="single" w:sz="4" w:space="0" w:color="000000"/>
              <w:right w:val="single" w:sz="4" w:space="0" w:color="000000"/>
            </w:tcBorders>
            <w:vAlign w:val="center"/>
          </w:tcPr>
          <w:p w14:paraId="2073ECFC">
            <w:pPr>
              <w:pStyle w:val="style0"/>
              <w:widowControl/>
              <w:adjustRightInd w:val="false"/>
              <w:snapToGrid w:val="false"/>
              <w:jc w:val="center"/>
              <w:rPr>
                <w:rFonts w:ascii="黑体" w:eastAsia="黑体" w:hAnsi="黑体"/>
                <w:b/>
                <w:bCs/>
                <w:color w:val="000000"/>
                <w:kern w:val="0"/>
                <w:szCs w:val="21"/>
              </w:rPr>
            </w:pPr>
            <w:r>
              <w:rPr>
                <w:rFonts w:ascii="黑体" w:eastAsia="黑体" w:hAnsi="黑体" w:hint="eastAsia"/>
                <w:b/>
                <w:bCs/>
                <w:color w:val="000000"/>
                <w:kern w:val="0"/>
                <w:szCs w:val="21"/>
              </w:rPr>
              <w:t>数量</w:t>
            </w:r>
          </w:p>
        </w:tc>
        <w:tc>
          <w:tcPr>
            <w:tcW w:w="1397" w:type="dxa"/>
            <w:tcBorders>
              <w:top w:val="single" w:sz="4" w:space="0" w:color="000000"/>
              <w:left w:val="single" w:sz="4" w:space="0" w:color="000000"/>
              <w:bottom w:val="single" w:sz="4" w:space="0" w:color="000000"/>
              <w:right w:val="single" w:sz="4" w:space="0" w:color="000000"/>
            </w:tcBorders>
            <w:vAlign w:val="center"/>
          </w:tcPr>
          <w:p w14:paraId="69EB753F">
            <w:pPr>
              <w:pStyle w:val="style0"/>
              <w:widowControl/>
              <w:adjustRightInd w:val="false"/>
              <w:snapToGrid w:val="false"/>
              <w:jc w:val="center"/>
              <w:rPr>
                <w:rFonts w:ascii="黑体" w:eastAsia="黑体" w:hAnsi="黑体"/>
                <w:b/>
                <w:bCs/>
                <w:color w:val="000000"/>
                <w:kern w:val="0"/>
                <w:szCs w:val="21"/>
              </w:rPr>
            </w:pPr>
            <w:r>
              <w:rPr>
                <w:rFonts w:ascii="黑体" w:eastAsia="黑体" w:hAnsi="黑体" w:hint="eastAsia"/>
                <w:b/>
                <w:bCs/>
                <w:color w:val="000000"/>
                <w:kern w:val="0"/>
                <w:szCs w:val="21"/>
              </w:rPr>
              <w:t>专业</w:t>
            </w:r>
          </w:p>
        </w:tc>
        <w:tc>
          <w:tcPr>
            <w:tcW w:w="1102" w:type="dxa"/>
            <w:tcBorders>
              <w:top w:val="single" w:sz="4" w:space="0" w:color="000000"/>
              <w:left w:val="single" w:sz="4" w:space="0" w:color="000000"/>
              <w:bottom w:val="single" w:sz="4" w:space="0" w:color="000000"/>
              <w:right w:val="single" w:sz="4" w:space="0" w:color="000000"/>
            </w:tcBorders>
            <w:vAlign w:val="center"/>
          </w:tcPr>
          <w:p w14:paraId="52EDACEF">
            <w:pPr>
              <w:pStyle w:val="style0"/>
              <w:widowControl/>
              <w:adjustRightInd w:val="false"/>
              <w:snapToGrid w:val="false"/>
              <w:jc w:val="center"/>
              <w:rPr>
                <w:rFonts w:ascii="黑体" w:eastAsia="黑体" w:hAnsi="黑体"/>
                <w:b/>
                <w:bCs/>
                <w:color w:val="000000"/>
                <w:kern w:val="0"/>
                <w:szCs w:val="21"/>
              </w:rPr>
            </w:pPr>
            <w:r>
              <w:rPr>
                <w:rFonts w:ascii="黑体" w:eastAsia="黑体" w:hAnsi="黑体" w:hint="eastAsia"/>
                <w:b/>
                <w:bCs/>
                <w:color w:val="000000"/>
                <w:kern w:val="0"/>
                <w:szCs w:val="21"/>
              </w:rPr>
              <w:t>工作地点</w:t>
            </w:r>
          </w:p>
        </w:tc>
        <w:tc>
          <w:tcPr>
            <w:tcW w:w="1362" w:type="dxa"/>
            <w:tcBorders>
              <w:top w:val="single" w:sz="4" w:space="0" w:color="000000"/>
              <w:left w:val="single" w:sz="4" w:space="0" w:color="000000"/>
              <w:bottom w:val="single" w:sz="4" w:space="0" w:color="000000"/>
              <w:right w:val="single" w:sz="4" w:space="0" w:color="000000"/>
            </w:tcBorders>
            <w:vAlign w:val="center"/>
          </w:tcPr>
          <w:p w14:paraId="4F773F5C">
            <w:pPr>
              <w:pStyle w:val="style0"/>
              <w:widowControl/>
              <w:adjustRightInd w:val="false"/>
              <w:snapToGrid w:val="false"/>
              <w:jc w:val="center"/>
              <w:rPr>
                <w:rFonts w:ascii="黑体" w:eastAsia="黑体" w:hAnsi="黑体"/>
                <w:b/>
                <w:bCs/>
                <w:color w:val="000000"/>
                <w:kern w:val="0"/>
                <w:szCs w:val="21"/>
              </w:rPr>
            </w:pPr>
            <w:r>
              <w:rPr>
                <w:rFonts w:ascii="黑体" w:eastAsia="黑体" w:hAnsi="黑体" w:hint="eastAsia"/>
                <w:b/>
                <w:bCs/>
                <w:color w:val="000000"/>
                <w:kern w:val="0"/>
                <w:szCs w:val="21"/>
              </w:rPr>
              <w:t>住宿/就餐</w:t>
            </w:r>
          </w:p>
        </w:tc>
        <w:tc>
          <w:tcPr>
            <w:tcW w:w="2779" w:type="dxa"/>
            <w:tcBorders>
              <w:top w:val="single" w:sz="4" w:space="0" w:color="000000"/>
              <w:left w:val="single" w:sz="4" w:space="0" w:color="000000"/>
              <w:bottom w:val="single" w:sz="4" w:space="0" w:color="000000"/>
              <w:right w:val="single" w:sz="4" w:space="0" w:color="000000"/>
            </w:tcBorders>
            <w:vAlign w:val="center"/>
          </w:tcPr>
          <w:p w14:paraId="39902803">
            <w:pPr>
              <w:pStyle w:val="style0"/>
              <w:widowControl/>
              <w:adjustRightInd w:val="false"/>
              <w:snapToGrid w:val="false"/>
              <w:jc w:val="center"/>
              <w:rPr>
                <w:rFonts w:ascii="黑体" w:eastAsia="黑体" w:hAnsi="黑体"/>
                <w:b/>
                <w:bCs/>
                <w:color w:val="000000"/>
                <w:kern w:val="0"/>
                <w:szCs w:val="21"/>
              </w:rPr>
            </w:pPr>
            <w:r>
              <w:rPr>
                <w:rFonts w:ascii="黑体" w:eastAsia="黑体" w:hAnsi="黑体" w:hint="eastAsia"/>
                <w:b/>
                <w:bCs/>
                <w:color w:val="000000"/>
                <w:kern w:val="0"/>
                <w:szCs w:val="21"/>
              </w:rPr>
              <w:t>薪资（税前）</w:t>
            </w:r>
          </w:p>
        </w:tc>
      </w:tr>
      <w:tr w14:paraId="584464E5">
        <w:tblPrEx/>
        <w:trPr>
          <w:trHeight w:val="875" w:hRule="atLeast"/>
        </w:trPr>
        <w:tc>
          <w:tcPr>
            <w:tcW w:w="569" w:type="dxa"/>
            <w:tcBorders>
              <w:top w:val="single" w:sz="4" w:space="0" w:color="000000"/>
              <w:left w:val="single" w:sz="4" w:space="0" w:color="000000"/>
              <w:bottom w:val="single" w:sz="4" w:space="0" w:color="000000"/>
              <w:right w:val="single" w:sz="4" w:space="0" w:color="000000"/>
            </w:tcBorders>
            <w:vAlign w:val="center"/>
          </w:tcPr>
          <w:p w14:paraId="4504BD1E">
            <w:pPr>
              <w:pStyle w:val="style0"/>
              <w:widowControl/>
              <w:adjustRightInd w:val="false"/>
              <w:snapToGrid w:val="false"/>
              <w:jc w:val="center"/>
              <w:rPr>
                <w:rFonts w:ascii="仿宋_GB2312" w:eastAsia="仿宋_GB2312" w:hAnsi="宋体"/>
                <w:color w:val="000000"/>
                <w:kern w:val="0"/>
                <w:szCs w:val="21"/>
              </w:rPr>
            </w:pPr>
            <w:r>
              <w:rPr>
                <w:rFonts w:ascii="仿宋_GB2312" w:eastAsia="仿宋_GB2312" w:hAnsi="宋体" w:hint="eastAsia"/>
                <w:color w:val="000000"/>
                <w:kern w:val="0"/>
                <w:szCs w:val="21"/>
              </w:rPr>
              <w:t>1</w:t>
            </w:r>
          </w:p>
        </w:tc>
        <w:tc>
          <w:tcPr>
            <w:tcW w:w="1370" w:type="dxa"/>
            <w:tcBorders>
              <w:top w:val="single" w:sz="4" w:space="0" w:color="000000"/>
              <w:left w:val="single" w:sz="4" w:space="0" w:color="000000"/>
              <w:bottom w:val="single" w:sz="4" w:space="0" w:color="000000"/>
              <w:right w:val="single" w:sz="4" w:space="0" w:color="000000"/>
            </w:tcBorders>
            <w:vAlign w:val="center"/>
          </w:tcPr>
          <w:p w14:paraId="172F35A7">
            <w:pPr>
              <w:pStyle w:val="style0"/>
              <w:widowControl/>
              <w:adjustRightInd w:val="false"/>
              <w:snapToGrid w:val="false"/>
              <w:jc w:val="left"/>
              <w:rPr>
                <w:rFonts w:ascii="仿宋_GB2312" w:eastAsia="仿宋_GB2312" w:hAnsi="宋体"/>
                <w:color w:val="000000"/>
                <w:kern w:val="0"/>
                <w:szCs w:val="21"/>
              </w:rPr>
            </w:pPr>
            <w:r>
              <w:rPr>
                <w:rFonts w:ascii="仿宋_GB2312" w:eastAsia="仿宋_GB2312" w:hAnsi="宋体"/>
                <w:color w:val="000000"/>
                <w:kern w:val="0"/>
                <w:szCs w:val="21"/>
                <w:lang w:val="en-US"/>
              </w:rPr>
              <w:t>增材制造操作工</w:t>
            </w:r>
          </w:p>
        </w:tc>
        <w:tc>
          <w:tcPr>
            <w:tcW w:w="480" w:type="dxa"/>
            <w:tcBorders>
              <w:top w:val="single" w:sz="4" w:space="0" w:color="000000"/>
              <w:left w:val="single" w:sz="4" w:space="0" w:color="000000"/>
              <w:bottom w:val="single" w:sz="4" w:space="0" w:color="000000"/>
              <w:right w:val="single" w:sz="4" w:space="0" w:color="000000"/>
            </w:tcBorders>
            <w:vAlign w:val="center"/>
          </w:tcPr>
          <w:p w14:paraId="6750B4AA">
            <w:pPr>
              <w:pStyle w:val="style0"/>
              <w:widowControl/>
              <w:adjustRightInd w:val="false"/>
              <w:snapToGrid w:val="false"/>
              <w:jc w:val="both"/>
              <w:rPr>
                <w:rFonts w:ascii="仿宋_GB2312" w:eastAsia="仿宋_GB2312" w:hAnsi="宋体" w:hint="default"/>
                <w:kern w:val="0"/>
                <w:szCs w:val="21"/>
                <w:lang w:val="en-US" w:eastAsia="zh-CN"/>
              </w:rPr>
            </w:pPr>
            <w:r>
              <w:rPr>
                <w:rFonts w:ascii="仿宋_GB2312" w:eastAsia="仿宋_GB2312" w:hAnsi="宋体" w:hint="default"/>
                <w:kern w:val="0"/>
                <w:szCs w:val="21"/>
                <w:lang w:val="en-US" w:eastAsia="zh-CN"/>
              </w:rPr>
              <w:t>15</w:t>
            </w:r>
          </w:p>
        </w:tc>
        <w:tc>
          <w:tcPr>
            <w:tcW w:w="1397" w:type="dxa"/>
            <w:tcBorders>
              <w:top w:val="single" w:sz="4" w:space="0" w:color="000000"/>
              <w:left w:val="single" w:sz="4" w:space="0" w:color="000000"/>
              <w:bottom w:val="single" w:sz="4" w:space="0" w:color="000000"/>
              <w:right w:val="single" w:sz="4" w:space="0" w:color="000000"/>
            </w:tcBorders>
            <w:vAlign w:val="center"/>
          </w:tcPr>
          <w:p w14:paraId="35BF7DA0">
            <w:pPr>
              <w:pStyle w:val="style0"/>
              <w:widowControl/>
              <w:adjustRightInd w:val="false"/>
              <w:snapToGrid w:val="false"/>
              <w:jc w:val="center"/>
              <w:rPr>
                <w:rFonts w:ascii="仿宋_GB2312" w:eastAsia="仿宋_GB2312" w:hAnsi="宋体" w:hint="eastAsia"/>
                <w:color w:val="000000"/>
                <w:kern w:val="0"/>
                <w:szCs w:val="21"/>
              </w:rPr>
            </w:pPr>
            <w:r>
              <w:rPr>
                <w:rFonts w:ascii="仿宋_GB2312" w:eastAsia="仿宋_GB2312" w:hAnsi="宋体" w:hint="eastAsia"/>
                <w:color w:val="000000"/>
                <w:kern w:val="0"/>
                <w:szCs w:val="21"/>
              </w:rPr>
              <w:t>机械制造类</w:t>
            </w:r>
          </w:p>
          <w:p w14:paraId="EECFBC84">
            <w:pPr>
              <w:pStyle w:val="style0"/>
              <w:widowControl/>
              <w:adjustRightInd w:val="false"/>
              <w:snapToGrid w:val="false"/>
              <w:jc w:val="center"/>
              <w:rPr>
                <w:rFonts w:ascii="仿宋_GB2312" w:eastAsia="仿宋_GB2312" w:hAnsi="宋体"/>
                <w:color w:val="000000"/>
                <w:kern w:val="0"/>
                <w:szCs w:val="21"/>
              </w:rPr>
            </w:pPr>
            <w:r>
              <w:rPr>
                <w:rFonts w:ascii="仿宋_GB2312" w:eastAsia="仿宋_GB2312" w:hAnsi="宋体" w:hint="default"/>
                <w:color w:val="000000"/>
                <w:kern w:val="0"/>
                <w:szCs w:val="21"/>
                <w:lang w:val="en-US"/>
              </w:rPr>
              <w:t>材料加工类</w:t>
            </w:r>
          </w:p>
        </w:tc>
        <w:tc>
          <w:tcPr>
            <w:tcW w:w="1102" w:type="dxa"/>
            <w:tcBorders>
              <w:top w:val="single" w:sz="4" w:space="0" w:color="000000"/>
              <w:left w:val="single" w:sz="4" w:space="0" w:color="000000"/>
              <w:bottom w:val="single" w:sz="4" w:space="0" w:color="000000"/>
              <w:right w:val="single" w:sz="4" w:space="0" w:color="000000"/>
            </w:tcBorders>
            <w:vAlign w:val="center"/>
          </w:tcPr>
          <w:p w14:paraId="0F1ED778">
            <w:pPr>
              <w:pStyle w:val="style0"/>
              <w:widowControl/>
              <w:adjustRightInd w:val="false"/>
              <w:snapToGrid w:val="false"/>
              <w:rPr>
                <w:rFonts w:ascii="仿宋_GB2312" w:eastAsia="仿宋_GB2312" w:hAnsi="宋体"/>
                <w:color w:val="000000"/>
                <w:kern w:val="0"/>
                <w:szCs w:val="21"/>
              </w:rPr>
            </w:pPr>
            <w:r>
              <w:rPr>
                <w:rFonts w:ascii="仿宋_GB2312" w:eastAsia="仿宋_GB2312" w:hAnsi="宋体" w:hint="eastAsia"/>
                <w:color w:val="000000"/>
                <w:kern w:val="0"/>
                <w:szCs w:val="21"/>
              </w:rPr>
              <w:t>苏州市相城区平谦国际（苏相）科学产业园</w:t>
            </w:r>
          </w:p>
          <w:p w14:paraId="15D9ECAA">
            <w:pPr>
              <w:pStyle w:val="style0"/>
              <w:widowControl/>
              <w:adjustRightInd w:val="false"/>
              <w:snapToGrid w:val="false"/>
              <w:rPr>
                <w:rFonts w:ascii="仿宋_GB2312" w:eastAsia="仿宋_GB2312" w:hAnsi="宋体"/>
                <w:color w:val="000000"/>
                <w:kern w:val="0"/>
                <w:szCs w:val="21"/>
              </w:rPr>
            </w:pPr>
          </w:p>
        </w:tc>
        <w:tc>
          <w:tcPr>
            <w:tcW w:w="1362" w:type="dxa"/>
            <w:tcBorders>
              <w:top w:val="single" w:sz="4" w:space="0" w:color="000000"/>
              <w:left w:val="single" w:sz="4" w:space="0" w:color="000000"/>
              <w:bottom w:val="single" w:sz="4" w:space="0" w:color="000000"/>
              <w:right w:val="single" w:sz="4" w:space="0" w:color="000000"/>
            </w:tcBorders>
            <w:vAlign w:val="center"/>
          </w:tcPr>
          <w:p w14:paraId="46A167DB">
            <w:pPr>
              <w:pStyle w:val="style0"/>
              <w:widowControl/>
              <w:adjustRightInd w:val="false"/>
              <w:snapToGrid w:val="false"/>
              <w:rPr>
                <w:rFonts w:ascii="仿宋_GB2312" w:eastAsia="仿宋_GB2312" w:hAnsi="宋体"/>
                <w:color w:val="000000"/>
                <w:kern w:val="0"/>
                <w:szCs w:val="21"/>
              </w:rPr>
            </w:pPr>
            <w:r>
              <w:rPr>
                <w:rFonts w:ascii="仿宋_GB2312" w:eastAsia="仿宋_GB2312" w:hAnsi="宋体" w:hint="eastAsia"/>
                <w:color w:val="000000"/>
                <w:kern w:val="0"/>
                <w:szCs w:val="21"/>
              </w:rPr>
              <w:t>实习生提供统一住宿，提供900元/月饭卡餐补。</w:t>
            </w:r>
          </w:p>
          <w:p w14:paraId="3161C486">
            <w:pPr>
              <w:pStyle w:val="style0"/>
              <w:widowControl/>
              <w:adjustRightInd w:val="false"/>
              <w:snapToGrid w:val="false"/>
              <w:rPr>
                <w:rFonts w:ascii="仿宋_GB2312" w:eastAsia="仿宋_GB2312" w:hAnsi="宋体"/>
                <w:color w:val="000000"/>
                <w:kern w:val="0"/>
                <w:szCs w:val="21"/>
              </w:rPr>
            </w:pPr>
          </w:p>
        </w:tc>
        <w:tc>
          <w:tcPr>
            <w:tcW w:w="2779" w:type="dxa"/>
            <w:tcBorders>
              <w:top w:val="single" w:sz="4" w:space="0" w:color="000000"/>
              <w:left w:val="single" w:sz="4" w:space="0" w:color="000000"/>
              <w:bottom w:val="single" w:sz="4" w:space="0" w:color="000000"/>
              <w:right w:val="single" w:sz="4" w:space="0" w:color="000000"/>
            </w:tcBorders>
          </w:tcPr>
          <w:p w14:paraId="15308501">
            <w:pPr>
              <w:pStyle w:val="style0"/>
              <w:widowControl/>
              <w:adjustRightInd w:val="false"/>
              <w:snapToGrid w:val="false"/>
              <w:jc w:val="left"/>
              <w:rPr>
                <w:rFonts w:ascii="仿宋_GB2312" w:eastAsia="仿宋_GB2312" w:hAnsi="宋体"/>
                <w:color w:val="000000"/>
                <w:kern w:val="0"/>
                <w:szCs w:val="21"/>
              </w:rPr>
            </w:pPr>
            <w:r>
              <w:rPr>
                <w:rFonts w:ascii="仿宋_GB2312" w:eastAsia="仿宋_GB2312" w:hAnsi="宋体" w:hint="eastAsia"/>
                <w:color w:val="000000"/>
                <w:kern w:val="0"/>
                <w:szCs w:val="21"/>
              </w:rPr>
              <w:t>实习期补助3000元/月，过试用期且出徒后6000-12000元/月。</w:t>
            </w:r>
          </w:p>
        </w:tc>
      </w:tr>
    </w:tbl>
    <w:p w14:paraId="32961334">
      <w:pPr>
        <w:pStyle w:val="style0"/>
        <w:adjustRightInd w:val="false"/>
        <w:snapToGrid w:val="false"/>
        <w:spacing w:lineRule="exact" w:line="560"/>
        <w:ind w:firstLine="640" w:firstLineChars="200"/>
        <w:rPr>
          <w:rFonts w:ascii="仿宋_GB2312" w:eastAsia="仿宋_GB2312" w:hAnsi="黑体"/>
          <w:bCs/>
          <w:sz w:val="32"/>
          <w:szCs w:val="32"/>
        </w:rPr>
      </w:pPr>
      <w:r>
        <w:rPr>
          <w:rFonts w:ascii="仿宋_GB2312" w:eastAsia="仿宋_GB2312" w:hAnsi="黑体" w:hint="eastAsia"/>
          <w:bCs/>
          <w:sz w:val="32"/>
          <w:szCs w:val="32"/>
        </w:rPr>
        <w:t>各岗位均面向应届毕业生、社会人才及在校实习生招聘，实习生实习期满后优秀者优先录用，欢迎有诚之士加入。</w:t>
      </w:r>
    </w:p>
    <w:p w14:paraId="3EBC682D">
      <w:pPr>
        <w:pStyle w:val="style0"/>
        <w:adjustRightInd w:val="false"/>
        <w:snapToGrid w:val="false"/>
        <w:spacing w:lineRule="exact" w:line="560"/>
        <w:ind w:firstLine="640" w:firstLineChars="200"/>
        <w:rPr>
          <w:rFonts w:ascii="黑体" w:eastAsia="黑体" w:hAnsi="黑体"/>
          <w:bCs/>
          <w:sz w:val="32"/>
          <w:szCs w:val="32"/>
        </w:rPr>
      </w:pPr>
      <w:r>
        <w:rPr>
          <w:rFonts w:ascii="黑体" w:eastAsia="黑体" w:hAnsi="黑体" w:hint="eastAsia"/>
          <w:bCs/>
          <w:sz w:val="32"/>
          <w:szCs w:val="32"/>
        </w:rPr>
        <w:t>三、招聘流程</w:t>
      </w:r>
    </w:p>
    <w:p w14:paraId="43BE60E4">
      <w:pPr>
        <w:pStyle w:val="style0"/>
        <w:adjustRightInd w:val="false"/>
        <w:snapToGrid w:val="false"/>
        <w:spacing w:lineRule="exact" w:line="560"/>
        <w:ind w:firstLine="640"/>
        <w:rPr>
          <w:rFonts w:ascii="楷体_GB2312" w:eastAsia="楷体_GB2312" w:hAnsi="黑体"/>
          <w:b/>
          <w:sz w:val="32"/>
          <w:szCs w:val="32"/>
        </w:rPr>
      </w:pPr>
      <w:r>
        <w:rPr>
          <w:rFonts w:ascii="楷体_GB2312" w:eastAsia="楷体_GB2312" w:hAnsi="黑体" w:hint="eastAsia"/>
          <w:b/>
          <w:sz w:val="32"/>
          <w:szCs w:val="32"/>
        </w:rPr>
        <w:t>（一）接收简历。</w:t>
      </w:r>
    </w:p>
    <w:p w14:paraId="4826E098">
      <w:pPr>
        <w:pStyle w:val="style0"/>
        <w:adjustRightInd w:val="false"/>
        <w:snapToGrid w:val="false"/>
        <w:spacing w:lineRule="exact" w:line="560"/>
        <w:ind w:firstLine="640"/>
        <w:rPr>
          <w:rFonts w:ascii="仿宋_GB2312" w:eastAsia="仿宋_GB2312" w:hAnsi="黑体"/>
          <w:bCs/>
          <w:sz w:val="32"/>
          <w:szCs w:val="32"/>
        </w:rPr>
      </w:pPr>
      <w:r>
        <w:rPr>
          <w:rFonts w:ascii="仿宋_GB2312" w:eastAsia="仿宋_GB2312" w:hAnsi="黑体" w:hint="eastAsia"/>
          <w:bCs/>
          <w:sz w:val="32"/>
          <w:szCs w:val="32"/>
        </w:rPr>
        <w:t>应聘者可通过电子邮箱、邮寄方式投递简历，也可以拨打联系电话咨询校园招聘计划，参加校园招聘（针对应届毕业生）。</w:t>
      </w:r>
    </w:p>
    <w:p w14:paraId="60301FAA">
      <w:pPr>
        <w:pStyle w:val="style0"/>
        <w:ind w:firstLine="640"/>
        <w:rPr>
          <w:rFonts w:ascii="楷体_GB2312" w:eastAsia="楷体_GB2312" w:hAnsi="黑体"/>
          <w:b/>
          <w:sz w:val="32"/>
          <w:szCs w:val="32"/>
        </w:rPr>
      </w:pPr>
      <w:r>
        <w:rPr>
          <w:rFonts w:ascii="楷体_GB2312" w:eastAsia="楷体_GB2312" w:hAnsi="黑体" w:hint="eastAsia"/>
          <w:b/>
          <w:sz w:val="32"/>
          <w:szCs w:val="32"/>
        </w:rPr>
        <w:t>（二）组织面试。</w:t>
      </w:r>
    </w:p>
    <w:p w14:paraId="24F2DE0C">
      <w:pPr>
        <w:pStyle w:val="style0"/>
        <w:ind w:firstLine="640"/>
        <w:rPr>
          <w:rFonts w:ascii="仿宋_GB2312" w:eastAsia="仿宋_GB2312" w:hAnsi="黑体"/>
          <w:bCs/>
          <w:sz w:val="32"/>
          <w:szCs w:val="32"/>
        </w:rPr>
      </w:pPr>
      <w:r>
        <w:rPr>
          <w:rFonts w:ascii="仿宋_GB2312" w:eastAsia="仿宋_GB2312" w:hAnsi="黑体" w:hint="eastAsia"/>
          <w:bCs/>
          <w:sz w:val="32"/>
          <w:szCs w:val="32"/>
        </w:rPr>
        <w:t>组织多场线上或线下招聘会，包括社会人才招聘会和校园招聘会，具体安排电话通知到应聘者或者校园招聘组织者。</w:t>
      </w:r>
    </w:p>
    <w:p w14:paraId="583E6D0A">
      <w:pPr>
        <w:pStyle w:val="style0"/>
        <w:ind w:firstLine="640"/>
        <w:rPr>
          <w:rFonts w:ascii="楷体_GB2312" w:eastAsia="楷体_GB2312" w:hAnsi="黑体"/>
          <w:b/>
          <w:sz w:val="32"/>
          <w:szCs w:val="32"/>
        </w:rPr>
      </w:pPr>
      <w:r>
        <w:rPr>
          <w:rFonts w:ascii="楷体_GB2312" w:eastAsia="楷体_GB2312" w:hAnsi="黑体" w:hint="eastAsia"/>
          <w:b/>
          <w:sz w:val="32"/>
          <w:szCs w:val="32"/>
        </w:rPr>
        <w:t>（三）入职体检、档案审查、背景调查。</w:t>
      </w:r>
    </w:p>
    <w:p w14:paraId="19A75F88">
      <w:pPr>
        <w:pStyle w:val="style0"/>
        <w:ind w:firstLine="640"/>
        <w:rPr>
          <w:rFonts w:ascii="仿宋_GB2312" w:eastAsia="仿宋_GB2312" w:hAnsi="黑体"/>
          <w:bCs/>
          <w:sz w:val="32"/>
          <w:szCs w:val="32"/>
        </w:rPr>
      </w:pPr>
      <w:r>
        <w:rPr>
          <w:rFonts w:ascii="仿宋_GB2312" w:eastAsia="仿宋_GB2312" w:hAnsi="黑体" w:hint="eastAsia"/>
          <w:bCs/>
          <w:sz w:val="32"/>
          <w:szCs w:val="32"/>
        </w:rPr>
        <w:t>组织面试通过的应聘人员进行入职体检，并对档案进行审查，做必要的背景调查，如发现伪造虚假信息，当事人应承担相应后果。</w:t>
      </w:r>
    </w:p>
    <w:p w14:paraId="13D338AA">
      <w:pPr>
        <w:pStyle w:val="style0"/>
        <w:ind w:firstLine="640"/>
        <w:rPr>
          <w:rFonts w:ascii="楷体_GB2312" w:eastAsia="楷体_GB2312" w:hAnsi="黑体"/>
          <w:b/>
          <w:sz w:val="32"/>
          <w:szCs w:val="32"/>
        </w:rPr>
      </w:pPr>
      <w:r>
        <w:rPr>
          <w:rFonts w:ascii="楷体_GB2312" w:eastAsia="楷体_GB2312" w:hAnsi="黑体" w:hint="eastAsia"/>
          <w:b/>
          <w:sz w:val="32"/>
          <w:szCs w:val="32"/>
        </w:rPr>
        <w:t>（四）入职。</w:t>
      </w:r>
    </w:p>
    <w:p w14:paraId="1E81A0F2">
      <w:pPr>
        <w:pStyle w:val="style0"/>
        <w:adjustRightInd w:val="false"/>
        <w:snapToGrid w:val="false"/>
        <w:spacing w:lineRule="exact" w:line="560"/>
        <w:ind w:firstLine="640" w:firstLineChars="200"/>
        <w:rPr>
          <w:rFonts w:ascii="黑体" w:eastAsia="黑体" w:hAnsi="黑体"/>
          <w:bCs/>
          <w:sz w:val="32"/>
          <w:szCs w:val="32"/>
        </w:rPr>
      </w:pPr>
      <w:r>
        <w:rPr>
          <w:rFonts w:ascii="黑体" w:eastAsia="黑体" w:hAnsi="黑体" w:hint="eastAsia"/>
          <w:bCs/>
          <w:sz w:val="32"/>
          <w:szCs w:val="32"/>
        </w:rPr>
        <w:t>四、招聘截止时间</w:t>
      </w:r>
    </w:p>
    <w:p w14:paraId="26AF1A10">
      <w:pPr>
        <w:pStyle w:val="style0"/>
        <w:adjustRightInd w:val="false"/>
        <w:snapToGrid w:val="false"/>
        <w:spacing w:lineRule="exact" w:line="560"/>
        <w:ind w:firstLine="640" w:firstLineChars="200"/>
        <w:rPr>
          <w:rFonts w:ascii="仿宋_GB2312" w:eastAsia="仿宋_GB2312" w:hAnsi="黑体"/>
          <w:bCs/>
          <w:sz w:val="32"/>
          <w:szCs w:val="32"/>
        </w:rPr>
      </w:pPr>
      <w:r>
        <w:rPr>
          <w:rFonts w:ascii="仿宋_GB2312" w:eastAsia="仿宋_GB2312" w:hAnsi="黑体" w:hint="eastAsia"/>
          <w:bCs/>
          <w:sz w:val="32"/>
          <w:szCs w:val="32"/>
        </w:rPr>
        <w:t>即日起至</w:t>
      </w:r>
      <w:r>
        <w:rPr>
          <w:rFonts w:ascii="仿宋_GB2312" w:eastAsia="仿宋_GB2312" w:hAnsi="黑体" w:hint="default"/>
          <w:bCs/>
          <w:sz w:val="32"/>
          <w:szCs w:val="32"/>
          <w:lang w:val="en-US"/>
        </w:rPr>
        <w:t>10</w:t>
      </w:r>
      <w:r>
        <w:rPr>
          <w:rFonts w:ascii="仿宋_GB2312" w:eastAsia="仿宋_GB2312" w:hAnsi="黑体" w:hint="eastAsia"/>
          <w:bCs/>
          <w:sz w:val="32"/>
          <w:szCs w:val="32"/>
        </w:rPr>
        <w:t>月31日止。</w:t>
      </w:r>
    </w:p>
    <w:p w14:paraId="6AF80065">
      <w:pPr>
        <w:pStyle w:val="style0"/>
        <w:adjustRightInd w:val="false"/>
        <w:snapToGrid w:val="false"/>
        <w:spacing w:lineRule="exact" w:line="560"/>
        <w:ind w:firstLine="640" w:firstLineChars="200"/>
        <w:rPr>
          <w:rFonts w:ascii="黑体" w:eastAsia="黑体" w:hAnsi="黑体"/>
          <w:bCs/>
          <w:sz w:val="32"/>
          <w:szCs w:val="32"/>
        </w:rPr>
      </w:pPr>
      <w:r>
        <w:rPr>
          <w:rFonts w:ascii="黑体" w:eastAsia="黑体" w:hAnsi="黑体" w:hint="eastAsia"/>
          <w:bCs/>
          <w:sz w:val="32"/>
          <w:szCs w:val="32"/>
        </w:rPr>
        <w:t>五、薪酬和福利待遇</w:t>
      </w:r>
    </w:p>
    <w:p w14:paraId="6027E006">
      <w:pPr>
        <w:pStyle w:val="style0"/>
        <w:adjustRightInd w:val="false"/>
        <w:snapToGrid w:val="false"/>
        <w:spacing w:lineRule="exact" w:line="560"/>
        <w:ind w:firstLine="640" w:firstLineChars="200"/>
        <w:rPr>
          <w:rFonts w:ascii="仿宋_GB2312" w:eastAsia="仿宋_GB2312" w:hAnsi="宋体"/>
          <w:sz w:val="32"/>
          <w:szCs w:val="32"/>
        </w:rPr>
      </w:pPr>
      <w:r>
        <w:rPr>
          <w:rFonts w:ascii="仿宋_GB2312" w:eastAsia="仿宋_GB2312" w:hAnsi="宋体" w:hint="eastAsia"/>
          <w:sz w:val="32"/>
          <w:szCs w:val="32"/>
        </w:rPr>
        <w:t>（一）</w:t>
      </w:r>
      <w:r>
        <w:rPr>
          <w:rFonts w:ascii="仿宋_GB2312" w:eastAsia="仿宋_GB2312" w:hAnsi="宋体"/>
          <w:sz w:val="32"/>
          <w:szCs w:val="32"/>
        </w:rPr>
        <w:t>实习学生在</w:t>
      </w:r>
      <w:r>
        <w:rPr>
          <w:rFonts w:ascii="仿宋_GB2312" w:eastAsia="仿宋_GB2312" w:hAnsi="宋体" w:hint="eastAsia"/>
          <w:sz w:val="32"/>
          <w:szCs w:val="32"/>
        </w:rPr>
        <w:t>实习期间：实习补助</w:t>
      </w:r>
      <w:r>
        <w:rPr>
          <w:rFonts w:ascii="仿宋_GB2312" w:eastAsia="仿宋_GB2312" w:hAnsi="宋体"/>
          <w:sz w:val="32"/>
          <w:szCs w:val="32"/>
        </w:rPr>
        <w:t>3</w:t>
      </w:r>
      <w:r>
        <w:rPr>
          <w:rFonts w:ascii="仿宋_GB2312" w:eastAsia="仿宋_GB2312" w:hAnsi="宋体" w:hint="eastAsia"/>
          <w:sz w:val="32"/>
          <w:szCs w:val="32"/>
        </w:rPr>
        <w:t>000元/月，就餐补助</w:t>
      </w:r>
      <w:r>
        <w:rPr>
          <w:rFonts w:ascii="仿宋_GB2312" w:eastAsia="仿宋_GB2312" w:hAnsi="宋体"/>
          <w:sz w:val="32"/>
          <w:szCs w:val="32"/>
        </w:rPr>
        <w:t>9</w:t>
      </w:r>
      <w:r>
        <w:rPr>
          <w:rFonts w:ascii="仿宋_GB2312" w:eastAsia="仿宋_GB2312" w:hAnsi="宋体" w:hint="eastAsia"/>
          <w:sz w:val="32"/>
          <w:szCs w:val="32"/>
        </w:rPr>
        <w:t>00元/月，提供免费住宿；</w:t>
      </w:r>
    </w:p>
    <w:p w14:paraId="416D755D">
      <w:pPr>
        <w:pStyle w:val="style0"/>
        <w:adjustRightInd w:val="false"/>
        <w:snapToGrid w:val="false"/>
        <w:spacing w:lineRule="exact" w:line="560"/>
        <w:ind w:firstLine="640" w:firstLineChars="200"/>
        <w:rPr>
          <w:rFonts w:ascii="仿宋_GB2312" w:eastAsia="仿宋_GB2312" w:hAnsi="宋体"/>
          <w:sz w:val="32"/>
          <w:szCs w:val="32"/>
        </w:rPr>
      </w:pPr>
      <w:r>
        <w:rPr>
          <w:rFonts w:ascii="仿宋_GB2312" w:eastAsia="仿宋_GB2312" w:hAnsi="宋体" w:hint="eastAsia"/>
          <w:sz w:val="32"/>
          <w:szCs w:val="32"/>
        </w:rPr>
        <w:t>（二）</w:t>
      </w:r>
      <w:r>
        <w:rPr>
          <w:rFonts w:ascii="仿宋_GB2312" w:eastAsia="仿宋_GB2312" w:hAnsi="宋体"/>
          <w:sz w:val="32"/>
          <w:szCs w:val="32"/>
        </w:rPr>
        <w:t>社会人才</w:t>
      </w:r>
      <w:r>
        <w:rPr>
          <w:rFonts w:ascii="仿宋_GB2312" w:eastAsia="仿宋_GB2312" w:hAnsi="宋体" w:hint="eastAsia"/>
          <w:sz w:val="32"/>
          <w:szCs w:val="32"/>
        </w:rPr>
        <w:t>试用期后，根据不同岗位提供不同薪酬待遇；</w:t>
      </w:r>
    </w:p>
    <w:p w14:paraId="3642BE92">
      <w:pPr>
        <w:pStyle w:val="style0"/>
        <w:adjustRightInd w:val="false"/>
        <w:snapToGrid w:val="false"/>
        <w:spacing w:lineRule="exact" w:line="560"/>
        <w:ind w:firstLine="640" w:firstLineChars="200"/>
        <w:rPr>
          <w:rFonts w:ascii="仿宋_GB2312" w:eastAsia="仿宋_GB2312" w:hAnsi="宋体"/>
          <w:sz w:val="32"/>
          <w:szCs w:val="32"/>
        </w:rPr>
      </w:pPr>
      <w:r>
        <w:rPr>
          <w:rFonts w:ascii="仿宋_GB2312" w:eastAsia="仿宋_GB2312" w:hAnsi="宋体" w:hint="eastAsia"/>
          <w:sz w:val="32"/>
          <w:szCs w:val="32"/>
        </w:rPr>
        <w:t>（三）根据江苏省相关要求缴纳社会保险和住房公积金（实习生除外）；</w:t>
      </w:r>
    </w:p>
    <w:p w14:paraId="394D4D73">
      <w:pPr>
        <w:pStyle w:val="style0"/>
        <w:adjustRightInd w:val="false"/>
        <w:snapToGrid w:val="false"/>
        <w:spacing w:lineRule="exact" w:line="560"/>
        <w:ind w:firstLine="640" w:firstLineChars="200"/>
        <w:rPr>
          <w:rFonts w:ascii="仿宋_GB2312" w:eastAsia="仿宋_GB2312" w:hAnsi="宋体"/>
          <w:sz w:val="32"/>
          <w:szCs w:val="32"/>
        </w:rPr>
      </w:pPr>
      <w:r>
        <w:rPr>
          <w:rFonts w:ascii="仿宋_GB2312" w:eastAsia="仿宋_GB2312" w:hAnsi="宋体" w:hint="eastAsia"/>
          <w:sz w:val="32"/>
          <w:szCs w:val="32"/>
        </w:rPr>
        <w:t>（四）</w:t>
      </w:r>
      <w:r>
        <w:rPr>
          <w:rFonts w:ascii="仿宋_GB2312" w:eastAsia="仿宋_GB2312" w:hAnsi="宋体"/>
          <w:sz w:val="32"/>
          <w:szCs w:val="32"/>
        </w:rPr>
        <w:t>满足苏州市相关人才政策的人才，可</w:t>
      </w:r>
      <w:r>
        <w:rPr>
          <w:rFonts w:ascii="仿宋_GB2312" w:eastAsia="仿宋_GB2312" w:hAnsi="宋体" w:hint="eastAsia"/>
          <w:sz w:val="32"/>
          <w:szCs w:val="32"/>
        </w:rPr>
        <w:t>享受苏州地区各类人才相关优惠政策；</w:t>
      </w:r>
    </w:p>
    <w:p w14:paraId="55238D6F">
      <w:pPr>
        <w:pStyle w:val="style0"/>
        <w:adjustRightInd w:val="false"/>
        <w:snapToGrid w:val="false"/>
        <w:spacing w:lineRule="exact" w:line="560"/>
        <w:ind w:firstLine="640" w:firstLineChars="200"/>
        <w:rPr>
          <w:rFonts w:ascii="仿宋_GB2312" w:eastAsia="仿宋_GB2312" w:hAnsi="宋体"/>
          <w:sz w:val="32"/>
          <w:szCs w:val="32"/>
        </w:rPr>
      </w:pPr>
      <w:r>
        <w:rPr>
          <w:rFonts w:ascii="仿宋_GB2312" w:eastAsia="仿宋_GB2312" w:hAnsi="宋体" w:hint="eastAsia"/>
          <w:sz w:val="32"/>
          <w:szCs w:val="32"/>
        </w:rPr>
        <w:t>（五）可享受公司不定期组织的免费培训（专业技能/技术培训、安全知识培训等）；可享受公司工会各种节日慰问福利，可参加公司定期组织的工会活动（各种节日趣味活动、羽毛球比赛、台球比赛等）；</w:t>
      </w:r>
    </w:p>
    <w:p w14:paraId="3C18B4B4">
      <w:pPr>
        <w:pStyle w:val="style0"/>
        <w:adjustRightInd w:val="false"/>
        <w:snapToGrid w:val="false"/>
        <w:spacing w:lineRule="exact" w:line="560"/>
        <w:ind w:firstLine="640" w:firstLineChars="200"/>
        <w:rPr>
          <w:rFonts w:ascii="仿宋_GB2312" w:eastAsia="仿宋_GB2312" w:hAnsi="宋体"/>
          <w:sz w:val="32"/>
          <w:szCs w:val="32"/>
        </w:rPr>
      </w:pPr>
      <w:r>
        <w:rPr>
          <w:rFonts w:ascii="仿宋_GB2312" w:eastAsia="仿宋_GB2312" w:hAnsi="宋体" w:hint="eastAsia"/>
          <w:sz w:val="32"/>
          <w:szCs w:val="32"/>
        </w:rPr>
        <w:t>（六）入职满一年后每年可享受公司组织的年度健康体检。</w:t>
      </w:r>
    </w:p>
    <w:p w14:paraId="5B198106">
      <w:pPr>
        <w:pStyle w:val="style0"/>
        <w:adjustRightInd w:val="false"/>
        <w:snapToGrid w:val="false"/>
        <w:spacing w:lineRule="exact" w:line="560"/>
        <w:ind w:firstLine="640" w:firstLineChars="200"/>
        <w:rPr>
          <w:rFonts w:ascii="仿宋_GB2312" w:eastAsia="仿宋_GB2312" w:hAnsi="宋体"/>
          <w:sz w:val="32"/>
          <w:szCs w:val="32"/>
        </w:rPr>
      </w:pPr>
    </w:p>
    <w:p w14:paraId="344861E9">
      <w:pPr>
        <w:pStyle w:val="style0"/>
        <w:snapToGrid w:val="false"/>
        <w:spacing w:lineRule="exact" w:line="560"/>
        <w:ind w:firstLine="640" w:firstLineChars="200"/>
        <w:rPr>
          <w:rFonts w:ascii="黑体" w:eastAsia="黑体" w:hAnsi="黑体"/>
          <w:bCs/>
          <w:sz w:val="32"/>
          <w:szCs w:val="32"/>
        </w:rPr>
      </w:pPr>
      <w:r>
        <w:rPr>
          <w:rFonts w:ascii="黑体" w:eastAsia="黑体" w:hAnsi="黑体" w:hint="eastAsia"/>
          <w:bCs/>
          <w:sz w:val="32"/>
          <w:szCs w:val="32"/>
        </w:rPr>
        <w:t>六、联系方式</w:t>
      </w:r>
    </w:p>
    <w:p w14:paraId="146D0281">
      <w:pPr>
        <w:pStyle w:val="style0"/>
        <w:snapToGrid w:val="false"/>
        <w:spacing w:lineRule="exact" w:line="560"/>
        <w:ind w:firstLine="720" w:firstLineChars="300"/>
        <w:rPr>
          <w:rFonts w:ascii="仿宋_GB2312" w:eastAsia="仿宋_GB2312" w:hAnsi="Times New Roman" w:hint="default"/>
          <w:sz w:val="24"/>
          <w:szCs w:val="24"/>
          <w:lang w:val="en-US" w:eastAsia="zh-CN"/>
        </w:rPr>
      </w:pPr>
      <w:r>
        <w:rPr>
          <w:rFonts w:ascii="仿宋_GB2312" w:eastAsia="仿宋_GB2312" w:hAnsi="Times New Roman" w:hint="eastAsia"/>
          <w:sz w:val="24"/>
          <w:szCs w:val="24"/>
        </w:rPr>
        <w:t>联 系 人：</w:t>
      </w:r>
      <w:r>
        <w:rPr>
          <w:rFonts w:ascii="仿宋_GB2312" w:eastAsia="仿宋_GB2312" w:hAnsi="Times New Roman" w:hint="eastAsia"/>
          <w:sz w:val="24"/>
          <w:szCs w:val="24"/>
          <w:lang w:val="en-US" w:eastAsia="zh-CN"/>
        </w:rPr>
        <w:t>高</w:t>
      </w:r>
      <w:r>
        <w:rPr>
          <w:rFonts w:ascii="仿宋_GB2312" w:eastAsia="仿宋_GB2312" w:hAnsi="Times New Roman" w:hint="eastAsia"/>
          <w:sz w:val="24"/>
          <w:szCs w:val="24"/>
        </w:rPr>
        <w:t>老师          联系电话：159</w:t>
      </w:r>
      <w:r>
        <w:rPr>
          <w:rFonts w:ascii="仿宋_GB2312" w:eastAsia="仿宋_GB2312" w:hAnsi="Times New Roman" w:hint="eastAsia"/>
          <w:sz w:val="24"/>
          <w:szCs w:val="24"/>
          <w:lang w:val="en-US" w:eastAsia="zh-CN"/>
        </w:rPr>
        <w:t>95802334</w:t>
      </w:r>
    </w:p>
    <w:p w14:paraId="31AFBA8A">
      <w:pPr>
        <w:pStyle w:val="style0"/>
        <w:snapToGrid w:val="false"/>
        <w:spacing w:lineRule="exact" w:line="560"/>
        <w:ind w:firstLine="720" w:firstLineChars="300"/>
        <w:rPr>
          <w:rFonts w:ascii="仿宋_GB2312" w:eastAsia="仿宋_GB2312" w:hAnsi="宋体"/>
          <w:bCs/>
          <w:sz w:val="32"/>
          <w:szCs w:val="32"/>
        </w:rPr>
      </w:pPr>
      <w:r>
        <w:rPr>
          <w:rFonts w:ascii="仿宋_GB2312" w:eastAsia="仿宋_GB2312" w:hAnsi="Times New Roman" w:hint="eastAsia"/>
          <w:sz w:val="24"/>
          <w:szCs w:val="24"/>
        </w:rPr>
        <w:t>电子邮箱：</w:t>
      </w:r>
      <w:r>
        <w:rPr>
          <w:rFonts w:ascii="仿宋_GB2312" w:eastAsia="仿宋_GB2312" w:hAnsi="Times New Roman" w:hint="eastAsia"/>
          <w:sz w:val="24"/>
          <w:szCs w:val="24"/>
          <w:lang w:val="en-US" w:eastAsia="zh-CN"/>
        </w:rPr>
        <w:t>1456634089</w:t>
      </w:r>
      <w:r>
        <w:rPr>
          <w:rFonts w:ascii="仿宋_GB2312" w:eastAsia="仿宋_GB2312" w:hAnsi="Times New Roman" w:hint="eastAsia"/>
          <w:sz w:val="24"/>
          <w:szCs w:val="24"/>
        </w:rPr>
        <w:t>@qq.com       单位地址：</w:t>
      </w:r>
      <w:r>
        <w:rPr>
          <w:rFonts w:ascii="仿宋_GB2312" w:eastAsia="仿宋_GB2312" w:hAnsi="Times New Roman"/>
          <w:sz w:val="24"/>
          <w:szCs w:val="24"/>
        </w:rPr>
        <w:t>江苏</w:t>
      </w:r>
      <w:r>
        <w:rPr>
          <w:rFonts w:ascii="仿宋_GB2312" w:eastAsia="仿宋_GB2312" w:hAnsi="Times New Roman" w:hint="eastAsia"/>
          <w:sz w:val="24"/>
          <w:szCs w:val="24"/>
        </w:rPr>
        <w:t>省苏州市相城区</w:t>
      </w:r>
    </w:p>
    <w:sectPr>
      <w:pgSz w:w="11906" w:h="16838" w:orient="portrait"/>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20007A87" w:usb1="80000000" w:usb2="00000008" w:usb3="00000000" w:csb0="000001FF" w:csb1="00000000"/>
  </w:font>
  <w:font w:name="宋体">
    <w:altName w:val="宋体"/>
    <w:panose1 w:val="02010600030001010101"/>
    <w:charset w:val="86"/>
    <w:family w:val="auto"/>
    <w:pitch w:val="default"/>
    <w:sig w:usb0="00000203" w:usb1="288F0000" w:usb2="00000006" w:usb3="00000000" w:csb0="00040001" w:csb1="00000000"/>
  </w:font>
  <w:font w:name="Wingdings">
    <w:altName w:val="Wingdings"/>
    <w:panose1 w:val="05000000000000000000"/>
    <w:charset w:val="02"/>
    <w:family w:val="auto"/>
    <w:pitch w:val="default"/>
    <w:sig w:usb0="00000000" w:usb1="00000000" w:usb2="00000000" w:usb3="00000000" w:csb0="80000000" w:csb1="00000000"/>
  </w:font>
  <w:font w:name="Arial">
    <w:altName w:val="Arial"/>
    <w:panose1 w:val="020b0604020002020204"/>
    <w:charset w:val="01"/>
    <w:family w:val="swiss"/>
    <w:pitch w:val="default"/>
    <w:sig w:usb0="E0002EFF" w:usb1="C000785B" w:usb2="00000009" w:usb3="00000000" w:csb0="400001FF" w:csb1="FFFF0000"/>
  </w:font>
  <w:font w:name="黑体">
    <w:altName w:val="黑体"/>
    <w:panose1 w:val="02010609060001010101"/>
    <w:charset w:val="86"/>
    <w:family w:val="auto"/>
    <w:pitch w:val="default"/>
    <w:sig w:usb0="800002BF" w:usb1="38CF7CFA" w:usb2="00000016" w:usb3="00000000" w:csb0="00040001" w:csb1="00000000"/>
  </w:font>
  <w:font w:name="Courier New">
    <w:altName w:val="Courier New"/>
    <w:panose1 w:val="02070309020002020404"/>
    <w:charset w:val="01"/>
    <w:family w:val="modern"/>
    <w:pitch w:val="default"/>
    <w:sig w:usb0="E0002EFF" w:usb1="C0007843" w:usb2="00000009" w:usb3="00000000" w:csb0="400001FF" w:csb1="FFFF0000"/>
  </w:font>
  <w:font w:name="Symbol">
    <w:altName w:val="Symbol"/>
    <w:panose1 w:val="05050102010007020507"/>
    <w:charset w:val="02"/>
    <w:family w:val="roman"/>
    <w:pitch w:val="default"/>
    <w:sig w:usb0="00000000" w:usb1="00000000" w:usb2="00000000" w:usb3="00000000" w:csb0="80000000" w:csb1="00000000"/>
  </w:font>
  <w:font w:name="Calibri">
    <w:altName w:val="Calibri"/>
    <w:panose1 w:val="020f0502020002030204"/>
    <w:charset w:val="00"/>
    <w:family w:val="swiss"/>
    <w:pitch w:val="default"/>
    <w:sig w:usb0="E4002EFF" w:usb1="C200247B" w:usb2="00000009" w:usb3="00000000" w:csb0="200001FF" w:csb1="00000000"/>
  </w:font>
  <w:font w:name="方正小标宋简体">
    <w:altName w:val="黑体"/>
    <w:panose1 w:val="03000509000000000000"/>
    <w:charset w:val="86"/>
    <w:family w:val="auto"/>
    <w:pitch w:val="default"/>
    <w:sig w:usb0="00000000" w:usb1="00000000" w:usb2="00000000" w:usb3="00000000" w:csb0="00040000" w:csb1="00000000"/>
  </w:font>
  <w:font w:name="仿宋_GB2312">
    <w:altName w:val="仿宋"/>
    <w:panose1 w:val="02010609030001010101"/>
    <w:charset w:val="86"/>
    <w:family w:val="auto"/>
    <w:pitch w:val="default"/>
    <w:sig w:usb0="00000000" w:usb1="00000000" w:usb2="00000000" w:usb3="00000000" w:csb0="00040000" w:csb1="00000000"/>
  </w:font>
  <w:font w:name="楷体_GB2312">
    <w:altName w:val="楷体"/>
    <w:panose1 w:val="02010609030001010101"/>
    <w:charset w:val="86"/>
    <w:family w:val="auto"/>
    <w:pitch w:val="default"/>
    <w:sig w:usb0="00000000" w:usb1="00000000" w:usb2="00000000" w:usb3="00000000" w:csb0="00040000" w:csb1="00000000"/>
  </w:font>
  <w:font w:name="仿宋">
    <w:altName w:val="仿宋"/>
    <w:panose1 w:val="02010609060001010101"/>
    <w:charset w:val="86"/>
    <w:family w:val="auto"/>
    <w:pitch w:val="default"/>
    <w:sig w:usb0="800002BF" w:usb1="38CF7CFA" w:usb2="00000016" w:usb3="00000000" w:csb0="00040001" w:csb1="00000000"/>
  </w:font>
  <w:font w:name="KSOFE44F9426">
    <w:altName w:val="KSOFE44F9426"/>
    <w:panose1 w:val="02010609060001010101"/>
    <w:charset w:val="86"/>
    <w:family w:val="auto"/>
    <w:pitch w:val="default"/>
    <w:sig w:usb0="00000001" w:usb1="00000000" w:usb2="00000000" w:usb3="00000000" w:csb0="00040001" w:csb1="00000000"/>
  </w:font>
  <w:font w:name="楷体">
    <w:altName w:val="楷体"/>
    <w:panose1 w:val="020106090600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10"/>
  <w:bordersDoNotSurroundHeader/>
  <w:bordersDoNotSurroundFooter/>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Times New Roman" w:cs="Times New Roman" w:eastAsia="宋体" w:hAnsi="Times New Roman"/>
      </w:rPr>
    </w:rPrDefault>
    <w:pPrDefault>
      <w:pPr/>
    </w:pPrDefault>
  </w:docDefaults>
  <w:style w:type="paragraph" w:default="1" w:styleId="style0">
    <w:name w:val="Normal"/>
    <w:next w:val="style0"/>
    <w:qFormat/>
    <w:uiPriority w:val="0"/>
    <w:pPr>
      <w:widowControl w:val="false"/>
      <w:jc w:val="both"/>
    </w:pPr>
    <w:rPr>
      <w:rFonts w:ascii="Calibri" w:cs="宋体" w:eastAsia="宋体" w:hAnsi="Calibri"/>
      <w:kern w:val="2"/>
      <w:sz w:val="21"/>
      <w:szCs w:val="22"/>
      <w:lang w:val="en-US" w:bidi="ar-SA" w:eastAsia="zh-CN"/>
    </w:rPr>
  </w:style>
  <w:style w:type="character" w:default="1" w:styleId="style65">
    <w:name w:val="Default Paragraph Font"/>
    <w:next w:val="style65"/>
    <w:uiPriority w:val="1"/>
  </w:style>
  <w:style w:type="table" w:default="1" w:styleId="style105">
    <w:name w:val="Normal Table"/>
    <w:next w:val="style105"/>
    <w:qFormat/>
    <w:uiPriority w:val="99"/>
    <w:pPr/>
    <w:rPr/>
    <w:tblPr>
      <w:tblCellMar>
        <w:top w:w="0" w:type="dxa"/>
        <w:left w:w="108" w:type="dxa"/>
        <w:bottom w:w="0" w:type="dxa"/>
        <w:right w:w="108" w:type="dxa"/>
      </w:tblCellMar>
    </w:tblPr>
    <w:tcPr>
      <w:tcBorders/>
    </w:tcPr>
  </w:style>
  <w:style w:type="paragraph" w:styleId="style32">
    <w:name w:val="footer"/>
    <w:basedOn w:val="style0"/>
    <w:next w:val="style32"/>
    <w:link w:val="style4099"/>
    <w:qFormat/>
    <w:uiPriority w:val="99"/>
    <w:pPr>
      <w:tabs>
        <w:tab w:val="center" w:leader="none" w:pos="4153"/>
        <w:tab w:val="right" w:leader="none" w:pos="8306"/>
      </w:tabs>
      <w:snapToGrid w:val="false"/>
      <w:jc w:val="left"/>
    </w:pPr>
    <w:rPr>
      <w:sz w:val="18"/>
      <w:szCs w:val="18"/>
    </w:rPr>
  </w:style>
  <w:style w:type="paragraph" w:styleId="style31">
    <w:name w:val="header"/>
    <w:basedOn w:val="style0"/>
    <w:next w:val="style31"/>
    <w:link w:val="style4098"/>
    <w:qFormat/>
    <w:uiPriority w:val="99"/>
    <w:pPr>
      <w:pBdr>
        <w:bottom w:val="single" w:sz="6" w:space="1" w:color="auto"/>
      </w:pBdr>
      <w:tabs>
        <w:tab w:val="center" w:leader="none" w:pos="4153"/>
        <w:tab w:val="right" w:leader="none" w:pos="8306"/>
      </w:tabs>
      <w:snapToGrid w:val="false"/>
      <w:jc w:val="center"/>
    </w:pPr>
    <w:rPr>
      <w:sz w:val="18"/>
      <w:szCs w:val="18"/>
    </w:rPr>
  </w:style>
  <w:style w:type="paragraph" w:customStyle="1" w:styleId="style4097">
    <w:name w:val="List Paragraph_36f8ea96-5ae1-45f0-a012-f51546152fe0"/>
    <w:basedOn w:val="style0"/>
    <w:next w:val="style4097"/>
    <w:qFormat/>
    <w:uiPriority w:val="99"/>
    <w:pPr>
      <w:ind w:firstLine="420" w:firstLineChars="200"/>
    </w:pPr>
    <w:rPr/>
  </w:style>
  <w:style w:type="character" w:customStyle="1" w:styleId="style4098">
    <w:name w:val="页眉 Char"/>
    <w:basedOn w:val="style65"/>
    <w:next w:val="style4098"/>
    <w:link w:val="style31"/>
    <w:qFormat/>
    <w:uiPriority w:val="99"/>
    <w:rPr>
      <w:sz w:val="18"/>
      <w:szCs w:val="18"/>
    </w:rPr>
  </w:style>
  <w:style w:type="character" w:customStyle="1" w:styleId="style4099">
    <w:name w:val="页脚 Char"/>
    <w:basedOn w:val="style65"/>
    <w:next w:val="style4099"/>
    <w:link w:val="style32"/>
    <w:qFormat/>
    <w:uiPriority w:val="99"/>
    <w:rPr>
      <w:sz w:val="18"/>
      <w:szCs w:val="18"/>
    </w:rPr>
  </w:style>
  <w:style w:type="table" w:styleId="style154">
    <w:name w:val="Table Grid"/>
    <w:basedOn w:val="style105"/>
    <w:next w:val="style154"/>
    <w:uiPriority w:val="59"/>
    <w:pP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tcBorders/>
    </w:tcPr>
  </w:style>
  <w:style w:type="table" w:styleId="style167">
    <w:name w:val="Medium Grid 3"/>
    <w:basedOn w:val="style105"/>
    <w:next w:val="style167"/>
    <w:uiPriority w:val="69"/>
    <w:pPr/>
    <w:rPr/>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c0c0c0"/>
      <w:tblCellMar>
        <w:top w:w="0" w:type="dxa"/>
        <w:left w:w="108" w:type="dxa"/>
        <w:bottom w:w="0" w:type="dxa"/>
        <w:right w:w="108" w:type="dxa"/>
      </w:tblCellMar>
    </w:tblPr>
    <w:tblStylePr w:type="firstRow">
      <w:pPr/>
      <w:rPr>
        <w:b/>
        <w:bCs/>
        <w:i w:val="false"/>
        <w:iCs w:val="false"/>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000000"/>
      </w:tcPr>
    </w:tblStylePr>
    <w:tblStylePr w:type="lastRow">
      <w:pPr/>
      <w:rPr>
        <w:b/>
        <w:bCs/>
        <w:i w:val="false"/>
        <w:iCs w:val="false"/>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000000"/>
      </w:tcPr>
    </w:tblStylePr>
    <w:tblStylePr w:type="band1Horz">
      <w:pPr/>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808080"/>
      </w:tcPr>
    </w:tblStylePr>
    <w:tblStylePr w:type="firstCol">
      <w:pPr/>
      <w:rPr>
        <w:b/>
        <w:bCs/>
        <w:i w:val="false"/>
        <w:iCs w:val="false"/>
        <w:color w:val="cce8cf"/>
      </w:rPr>
      <w:tblPr/>
      <w:tcPr>
        <w:tcBorders>
          <w:left w:val="single" w:sz="8" w:space="0" w:color="cce8cf"/>
          <w:right w:val="single" w:sz="24" w:space="0" w:color="cce8cf"/>
          <w:insideH w:val="nil"/>
          <w:insideV w:val="nil"/>
        </w:tcBorders>
        <w:shd w:val="clear" w:color="auto" w:fill="000000"/>
      </w:tcPr>
    </w:tblStylePr>
    <w:tblStylePr w:type="lastCol">
      <w:pPr/>
      <w:rPr>
        <w:b/>
        <w:bCs/>
        <w:i w:val="false"/>
        <w:iCs w:val="false"/>
        <w:color w:val="cce8cf"/>
      </w:rPr>
      <w:tblPr/>
      <w:tcPr>
        <w:tcBorders>
          <w:top w:val="nil"/>
          <w:left w:val="single" w:sz="24" w:space="0" w:color="cce8cf"/>
          <w:bottom w:val="nil"/>
          <w:right w:val="nil"/>
          <w:insideH w:val="nil"/>
          <w:insideV w:val="nil"/>
        </w:tcBorders>
        <w:shd w:val="clear" w:color="auto" w:fill="000000"/>
      </w:tcPr>
    </w:tblStylePr>
    <w:tblStylePr w:type="band1Vert">
      <w:pPr/>
      <w:tblPr/>
      <w:tcPr>
        <w:tcBorders>
          <w:top w:val="single" w:sz="8" w:space="0" w:color="cce8cf"/>
          <w:left w:val="single" w:sz="8" w:space="0" w:color="cce8cf"/>
          <w:bottom w:val="single" w:sz="8" w:space="0" w:color="cce8cf"/>
          <w:right w:val="single" w:sz="8" w:space="0" w:color="cce8cf"/>
          <w:insideH w:val="nil"/>
          <w:insideV w:val="nil"/>
        </w:tcBorders>
        <w:shd w:val="clear" w:color="auto" w:fill="808080"/>
      </w:tcPr>
    </w:tblStylePr>
    <w:tcPr>
      <w:tcBorders/>
      <w:shd w:val="clear" w:color="auto" w:fill="c0c0c0"/>
    </w:tcPr>
  </w:style>
  <w:style w:type="table" w:styleId="style185">
    <w:name w:val="Medium Grid 3 Accent 1"/>
    <w:basedOn w:val="style105"/>
    <w:next w:val="style185"/>
    <w:uiPriority w:val="69"/>
    <w:pPr/>
    <w:rPr/>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3dfee"/>
      <w:tblCellMar>
        <w:top w:w="0" w:type="dxa"/>
        <w:left w:w="108" w:type="dxa"/>
        <w:bottom w:w="0" w:type="dxa"/>
        <w:right w:w="108" w:type="dxa"/>
      </w:tblCellMar>
    </w:tblPr>
    <w:tblStylePr w:type="firstRow">
      <w:pPr/>
      <w:rPr>
        <w:b/>
        <w:bCs/>
        <w:i w:val="false"/>
        <w:iCs w:val="false"/>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4f81bd"/>
      </w:tcPr>
    </w:tblStylePr>
    <w:tblStylePr w:type="lastRow">
      <w:pPr/>
      <w:rPr>
        <w:b/>
        <w:bCs/>
        <w:i w:val="false"/>
        <w:iCs w:val="false"/>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4f81bd"/>
      </w:tcPr>
    </w:tblStylePr>
    <w:tblStylePr w:type="band1Horz">
      <w:pPr/>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a7bfde"/>
      </w:tcPr>
    </w:tblStylePr>
    <w:tblStylePr w:type="firstCol">
      <w:pPr/>
      <w:rPr>
        <w:b/>
        <w:bCs/>
        <w:i w:val="false"/>
        <w:iCs w:val="false"/>
        <w:color w:val="cce8cf"/>
      </w:rPr>
      <w:tblPr/>
      <w:tcPr>
        <w:tcBorders>
          <w:left w:val="single" w:sz="8" w:space="0" w:color="cce8cf"/>
          <w:right w:val="single" w:sz="24" w:space="0" w:color="cce8cf"/>
          <w:insideH w:val="nil"/>
          <w:insideV w:val="nil"/>
        </w:tcBorders>
        <w:shd w:val="clear" w:color="auto" w:fill="4f81bd"/>
      </w:tcPr>
    </w:tblStylePr>
    <w:tblStylePr w:type="lastCol">
      <w:pPr/>
      <w:rPr>
        <w:b/>
        <w:bCs/>
        <w:i w:val="false"/>
        <w:iCs w:val="false"/>
        <w:color w:val="cce8cf"/>
      </w:rPr>
      <w:tblPr/>
      <w:tcPr>
        <w:tcBorders>
          <w:top w:val="nil"/>
          <w:left w:val="single" w:sz="24" w:space="0" w:color="cce8cf"/>
          <w:bottom w:val="nil"/>
          <w:right w:val="nil"/>
          <w:insideH w:val="nil"/>
          <w:insideV w:val="nil"/>
        </w:tcBorders>
        <w:shd w:val="clear" w:color="auto" w:fill="4f81bd"/>
      </w:tcPr>
    </w:tblStylePr>
    <w:tblStylePr w:type="band1Vert">
      <w:pPr/>
      <w:tblPr/>
      <w:tcPr>
        <w:tcBorders>
          <w:top w:val="single" w:sz="8" w:space="0" w:color="cce8cf"/>
          <w:left w:val="single" w:sz="8" w:space="0" w:color="cce8cf"/>
          <w:bottom w:val="single" w:sz="8" w:space="0" w:color="cce8cf"/>
          <w:right w:val="single" w:sz="8" w:space="0" w:color="cce8cf"/>
          <w:insideH w:val="nil"/>
          <w:insideV w:val="nil"/>
        </w:tcBorders>
        <w:shd w:val="clear" w:color="auto" w:fill="a7bfde"/>
      </w:tcPr>
    </w:tblStylePr>
    <w:tcPr>
      <w:tcBorders/>
      <w:shd w:val="clear" w:color="auto" w:fill="d3dfee"/>
    </w:tcPr>
  </w:style>
  <w:style w:type="table" w:styleId="style199">
    <w:name w:val="Medium Grid 3 Accent 2"/>
    <w:basedOn w:val="style105"/>
    <w:next w:val="style199"/>
    <w:uiPriority w:val="69"/>
    <w:pPr/>
    <w:rPr/>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efd3d2"/>
      <w:tblCellMar>
        <w:top w:w="0" w:type="dxa"/>
        <w:left w:w="108" w:type="dxa"/>
        <w:bottom w:w="0" w:type="dxa"/>
        <w:right w:w="108" w:type="dxa"/>
      </w:tblCellMar>
    </w:tblPr>
    <w:tblStylePr w:type="firstRow">
      <w:pPr/>
      <w:rPr>
        <w:b/>
        <w:bCs/>
        <w:i w:val="false"/>
        <w:iCs w:val="false"/>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c0504d"/>
      </w:tcPr>
    </w:tblStylePr>
    <w:tblStylePr w:type="lastRow">
      <w:pPr/>
      <w:rPr>
        <w:b/>
        <w:bCs/>
        <w:i w:val="false"/>
        <w:iCs w:val="false"/>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c0504d"/>
      </w:tcPr>
    </w:tblStylePr>
    <w:tblStylePr w:type="band1Horz">
      <w:pPr/>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dfa7a6"/>
      </w:tcPr>
    </w:tblStylePr>
    <w:tblStylePr w:type="firstCol">
      <w:pPr/>
      <w:rPr>
        <w:b/>
        <w:bCs/>
        <w:i w:val="false"/>
        <w:iCs w:val="false"/>
        <w:color w:val="cce8cf"/>
      </w:rPr>
      <w:tblPr/>
      <w:tcPr>
        <w:tcBorders>
          <w:left w:val="single" w:sz="8" w:space="0" w:color="cce8cf"/>
          <w:right w:val="single" w:sz="24" w:space="0" w:color="cce8cf"/>
          <w:insideH w:val="nil"/>
          <w:insideV w:val="nil"/>
        </w:tcBorders>
        <w:shd w:val="clear" w:color="auto" w:fill="c0504d"/>
      </w:tcPr>
    </w:tblStylePr>
    <w:tblStylePr w:type="lastCol">
      <w:pPr/>
      <w:rPr>
        <w:b/>
        <w:bCs/>
        <w:i w:val="false"/>
        <w:iCs w:val="false"/>
        <w:color w:val="cce8cf"/>
      </w:rPr>
      <w:tblPr/>
      <w:tcPr>
        <w:tcBorders>
          <w:top w:val="nil"/>
          <w:left w:val="single" w:sz="24" w:space="0" w:color="cce8cf"/>
          <w:bottom w:val="nil"/>
          <w:right w:val="nil"/>
          <w:insideH w:val="nil"/>
          <w:insideV w:val="nil"/>
        </w:tcBorders>
        <w:shd w:val="clear" w:color="auto" w:fill="c0504d"/>
      </w:tcPr>
    </w:tblStylePr>
    <w:tblStylePr w:type="band1Vert">
      <w:pPr/>
      <w:tblPr/>
      <w:tcPr>
        <w:tcBorders>
          <w:top w:val="single" w:sz="8" w:space="0" w:color="cce8cf"/>
          <w:left w:val="single" w:sz="8" w:space="0" w:color="cce8cf"/>
          <w:bottom w:val="single" w:sz="8" w:space="0" w:color="cce8cf"/>
          <w:right w:val="single" w:sz="8" w:space="0" w:color="cce8cf"/>
          <w:insideH w:val="nil"/>
          <w:insideV w:val="nil"/>
        </w:tcBorders>
        <w:shd w:val="clear" w:color="auto" w:fill="dfa7a6"/>
      </w:tcPr>
    </w:tblStylePr>
    <w:tcPr>
      <w:tcBorders/>
      <w:shd w:val="clear" w:color="auto" w:fill="efd3d2"/>
    </w:tcPr>
  </w:style>
  <w:style w:type="table" w:styleId="style213">
    <w:name w:val="Medium Grid 3 Accent 3"/>
    <w:basedOn w:val="style105"/>
    <w:next w:val="style213"/>
    <w:uiPriority w:val="69"/>
    <w:pPr/>
    <w:rPr/>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e6eed5"/>
      <w:tblCellMar>
        <w:top w:w="0" w:type="dxa"/>
        <w:left w:w="108" w:type="dxa"/>
        <w:bottom w:w="0" w:type="dxa"/>
        <w:right w:w="108" w:type="dxa"/>
      </w:tblCellMar>
    </w:tblPr>
    <w:tblStylePr w:type="firstRow">
      <w:pPr/>
      <w:rPr>
        <w:b/>
        <w:bCs/>
        <w:i w:val="false"/>
        <w:iCs w:val="false"/>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9bbb59"/>
      </w:tcPr>
    </w:tblStylePr>
    <w:tblStylePr w:type="lastRow">
      <w:pPr/>
      <w:rPr>
        <w:b/>
        <w:bCs/>
        <w:i w:val="false"/>
        <w:iCs w:val="false"/>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9bbb59"/>
      </w:tcPr>
    </w:tblStylePr>
    <w:tblStylePr w:type="band1Horz">
      <w:pPr/>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cdddac"/>
      </w:tcPr>
    </w:tblStylePr>
    <w:tblStylePr w:type="firstCol">
      <w:pPr/>
      <w:rPr>
        <w:b/>
        <w:bCs/>
        <w:i w:val="false"/>
        <w:iCs w:val="false"/>
        <w:color w:val="cce8cf"/>
      </w:rPr>
      <w:tblPr/>
      <w:tcPr>
        <w:tcBorders>
          <w:left w:val="single" w:sz="8" w:space="0" w:color="cce8cf"/>
          <w:right w:val="single" w:sz="24" w:space="0" w:color="cce8cf"/>
          <w:insideH w:val="nil"/>
          <w:insideV w:val="nil"/>
        </w:tcBorders>
        <w:shd w:val="clear" w:color="auto" w:fill="9bbb59"/>
      </w:tcPr>
    </w:tblStylePr>
    <w:tblStylePr w:type="lastCol">
      <w:pPr/>
      <w:rPr>
        <w:b/>
        <w:bCs/>
        <w:i w:val="false"/>
        <w:iCs w:val="false"/>
        <w:color w:val="cce8cf"/>
      </w:rPr>
      <w:tblPr/>
      <w:tcPr>
        <w:tcBorders>
          <w:top w:val="nil"/>
          <w:left w:val="single" w:sz="24" w:space="0" w:color="cce8cf"/>
          <w:bottom w:val="nil"/>
          <w:right w:val="nil"/>
          <w:insideH w:val="nil"/>
          <w:insideV w:val="nil"/>
        </w:tcBorders>
        <w:shd w:val="clear" w:color="auto" w:fill="9bbb59"/>
      </w:tcPr>
    </w:tblStylePr>
    <w:tblStylePr w:type="band1Vert">
      <w:pPr/>
      <w:tblPr/>
      <w:tcPr>
        <w:tcBorders>
          <w:top w:val="single" w:sz="8" w:space="0" w:color="cce8cf"/>
          <w:left w:val="single" w:sz="8" w:space="0" w:color="cce8cf"/>
          <w:bottom w:val="single" w:sz="8" w:space="0" w:color="cce8cf"/>
          <w:right w:val="single" w:sz="8" w:space="0" w:color="cce8cf"/>
          <w:insideH w:val="nil"/>
          <w:insideV w:val="nil"/>
        </w:tcBorders>
        <w:shd w:val="clear" w:color="auto" w:fill="cdddac"/>
      </w:tcPr>
    </w:tblStylePr>
    <w:tcPr>
      <w:tcBorders/>
      <w:shd w:val="clear" w:color="auto" w:fill="e6eed5"/>
    </w:tcPr>
  </w:style>
  <w:style w:type="table" w:styleId="style227">
    <w:name w:val="Medium Grid 3 Accent 4"/>
    <w:basedOn w:val="style105"/>
    <w:next w:val="style227"/>
    <w:uiPriority w:val="69"/>
    <w:pPr/>
    <w:rPr/>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fd8e8"/>
      <w:tblCellMar>
        <w:top w:w="0" w:type="dxa"/>
        <w:left w:w="108" w:type="dxa"/>
        <w:bottom w:w="0" w:type="dxa"/>
        <w:right w:w="108" w:type="dxa"/>
      </w:tblCellMar>
    </w:tblPr>
    <w:tblStylePr w:type="firstRow">
      <w:pPr/>
      <w:rPr>
        <w:b/>
        <w:bCs/>
        <w:i w:val="false"/>
        <w:iCs w:val="false"/>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8064a2"/>
      </w:tcPr>
    </w:tblStylePr>
    <w:tblStylePr w:type="lastRow">
      <w:pPr/>
      <w:rPr>
        <w:b/>
        <w:bCs/>
        <w:i w:val="false"/>
        <w:iCs w:val="false"/>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8064a2"/>
      </w:tcPr>
    </w:tblStylePr>
    <w:tblStylePr w:type="band1Horz">
      <w:pPr/>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bfb1d0"/>
      </w:tcPr>
    </w:tblStylePr>
    <w:tblStylePr w:type="firstCol">
      <w:pPr/>
      <w:rPr>
        <w:b/>
        <w:bCs/>
        <w:i w:val="false"/>
        <w:iCs w:val="false"/>
        <w:color w:val="cce8cf"/>
      </w:rPr>
      <w:tblPr/>
      <w:tcPr>
        <w:tcBorders>
          <w:left w:val="single" w:sz="8" w:space="0" w:color="cce8cf"/>
          <w:right w:val="single" w:sz="24" w:space="0" w:color="cce8cf"/>
          <w:insideH w:val="nil"/>
          <w:insideV w:val="nil"/>
        </w:tcBorders>
        <w:shd w:val="clear" w:color="auto" w:fill="8064a2"/>
      </w:tcPr>
    </w:tblStylePr>
    <w:tblStylePr w:type="lastCol">
      <w:pPr/>
      <w:rPr>
        <w:b/>
        <w:bCs/>
        <w:i w:val="false"/>
        <w:iCs w:val="false"/>
        <w:color w:val="cce8cf"/>
      </w:rPr>
      <w:tblPr/>
      <w:tcPr>
        <w:tcBorders>
          <w:top w:val="nil"/>
          <w:left w:val="single" w:sz="24" w:space="0" w:color="cce8cf"/>
          <w:bottom w:val="nil"/>
          <w:right w:val="nil"/>
          <w:insideH w:val="nil"/>
          <w:insideV w:val="nil"/>
        </w:tcBorders>
        <w:shd w:val="clear" w:color="auto" w:fill="8064a2"/>
      </w:tcPr>
    </w:tblStylePr>
    <w:tblStylePr w:type="band1Vert">
      <w:pPr/>
      <w:tblPr/>
      <w:tcPr>
        <w:tcBorders>
          <w:top w:val="single" w:sz="8" w:space="0" w:color="cce8cf"/>
          <w:left w:val="single" w:sz="8" w:space="0" w:color="cce8cf"/>
          <w:bottom w:val="single" w:sz="8" w:space="0" w:color="cce8cf"/>
          <w:right w:val="single" w:sz="8" w:space="0" w:color="cce8cf"/>
          <w:insideH w:val="nil"/>
          <w:insideV w:val="nil"/>
        </w:tcBorders>
        <w:shd w:val="clear" w:color="auto" w:fill="bfb1d0"/>
      </w:tcPr>
    </w:tblStylePr>
    <w:tcPr>
      <w:tcBorders/>
      <w:shd w:val="clear" w:color="auto" w:fill="dfd8e8"/>
    </w:tcPr>
  </w:style>
  <w:style w:type="table" w:styleId="style241">
    <w:name w:val="Medium Grid 3 Accent 5"/>
    <w:basedOn w:val="style105"/>
    <w:next w:val="style241"/>
    <w:uiPriority w:val="69"/>
    <w:pPr/>
    <w:rPr/>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2eaf1"/>
      <w:tblCellMar>
        <w:top w:w="0" w:type="dxa"/>
        <w:left w:w="108" w:type="dxa"/>
        <w:bottom w:w="0" w:type="dxa"/>
        <w:right w:w="108" w:type="dxa"/>
      </w:tblCellMar>
    </w:tblPr>
    <w:tblStylePr w:type="firstRow">
      <w:pPr/>
      <w:rPr>
        <w:b/>
        <w:bCs/>
        <w:i w:val="false"/>
        <w:iCs w:val="false"/>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4bacc6"/>
      </w:tcPr>
    </w:tblStylePr>
    <w:tblStylePr w:type="lastRow">
      <w:pPr/>
      <w:rPr>
        <w:b/>
        <w:bCs/>
        <w:i w:val="false"/>
        <w:iCs w:val="false"/>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4bacc6"/>
      </w:tcPr>
    </w:tblStylePr>
    <w:tblStylePr w:type="band1Horz">
      <w:pPr/>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a5d5e2"/>
      </w:tcPr>
    </w:tblStylePr>
    <w:tblStylePr w:type="firstCol">
      <w:pPr/>
      <w:rPr>
        <w:b/>
        <w:bCs/>
        <w:i w:val="false"/>
        <w:iCs w:val="false"/>
        <w:color w:val="cce8cf"/>
      </w:rPr>
      <w:tblPr/>
      <w:tcPr>
        <w:tcBorders>
          <w:left w:val="single" w:sz="8" w:space="0" w:color="cce8cf"/>
          <w:right w:val="single" w:sz="24" w:space="0" w:color="cce8cf"/>
          <w:insideH w:val="nil"/>
          <w:insideV w:val="nil"/>
        </w:tcBorders>
        <w:shd w:val="clear" w:color="auto" w:fill="4bacc6"/>
      </w:tcPr>
    </w:tblStylePr>
    <w:tblStylePr w:type="lastCol">
      <w:pPr/>
      <w:rPr>
        <w:b/>
        <w:bCs/>
        <w:i w:val="false"/>
        <w:iCs w:val="false"/>
        <w:color w:val="cce8cf"/>
      </w:rPr>
      <w:tblPr/>
      <w:tcPr>
        <w:tcBorders>
          <w:top w:val="nil"/>
          <w:left w:val="single" w:sz="24" w:space="0" w:color="cce8cf"/>
          <w:bottom w:val="nil"/>
          <w:right w:val="nil"/>
          <w:insideH w:val="nil"/>
          <w:insideV w:val="nil"/>
        </w:tcBorders>
        <w:shd w:val="clear" w:color="auto" w:fill="4bacc6"/>
      </w:tcPr>
    </w:tblStylePr>
    <w:tblStylePr w:type="band1Vert">
      <w:pPr/>
      <w:tblPr/>
      <w:tcPr>
        <w:tcBorders>
          <w:top w:val="single" w:sz="8" w:space="0" w:color="cce8cf"/>
          <w:left w:val="single" w:sz="8" w:space="0" w:color="cce8cf"/>
          <w:bottom w:val="single" w:sz="8" w:space="0" w:color="cce8cf"/>
          <w:right w:val="single" w:sz="8" w:space="0" w:color="cce8cf"/>
          <w:insideH w:val="nil"/>
          <w:insideV w:val="nil"/>
        </w:tcBorders>
        <w:shd w:val="clear" w:color="auto" w:fill="a5d5e2"/>
      </w:tcPr>
    </w:tblStylePr>
    <w:tcPr>
      <w:tcBorders/>
      <w:shd w:val="clear" w:color="auto" w:fill="d2eaf1"/>
    </w:tcPr>
  </w:style>
  <w:style w:type="table" w:styleId="style255">
    <w:name w:val="Medium Grid 3 Accent 6"/>
    <w:basedOn w:val="style105"/>
    <w:next w:val="style255"/>
    <w:uiPriority w:val="69"/>
    <w:pPr/>
    <w:rPr/>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fde4d0"/>
      <w:tblCellMar>
        <w:top w:w="0" w:type="dxa"/>
        <w:left w:w="108" w:type="dxa"/>
        <w:bottom w:w="0" w:type="dxa"/>
        <w:right w:w="108" w:type="dxa"/>
      </w:tblCellMar>
    </w:tblPr>
    <w:tblStylePr w:type="firstRow">
      <w:pPr/>
      <w:rPr>
        <w:b/>
        <w:bCs/>
        <w:i w:val="false"/>
        <w:iCs w:val="false"/>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f79646"/>
      </w:tcPr>
    </w:tblStylePr>
    <w:tblStylePr w:type="lastRow">
      <w:pPr/>
      <w:rPr>
        <w:b/>
        <w:bCs/>
        <w:i w:val="false"/>
        <w:iCs w:val="false"/>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f79646"/>
      </w:tcPr>
    </w:tblStylePr>
    <w:tblStylePr w:type="band1Horz">
      <w:pPr/>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fbcaa2"/>
      </w:tcPr>
    </w:tblStylePr>
    <w:tblStylePr w:type="firstCol">
      <w:pPr/>
      <w:rPr>
        <w:b/>
        <w:bCs/>
        <w:i w:val="false"/>
        <w:iCs w:val="false"/>
        <w:color w:val="cce8cf"/>
      </w:rPr>
      <w:tblPr/>
      <w:tcPr>
        <w:tcBorders>
          <w:left w:val="single" w:sz="8" w:space="0" w:color="cce8cf"/>
          <w:right w:val="single" w:sz="24" w:space="0" w:color="cce8cf"/>
          <w:insideH w:val="nil"/>
          <w:insideV w:val="nil"/>
        </w:tcBorders>
        <w:shd w:val="clear" w:color="auto" w:fill="f79646"/>
      </w:tcPr>
    </w:tblStylePr>
    <w:tblStylePr w:type="lastCol">
      <w:pPr/>
      <w:rPr>
        <w:b/>
        <w:bCs/>
        <w:i w:val="false"/>
        <w:iCs w:val="false"/>
        <w:color w:val="cce8cf"/>
      </w:rPr>
      <w:tblPr/>
      <w:tcPr>
        <w:tcBorders>
          <w:top w:val="nil"/>
          <w:left w:val="single" w:sz="24" w:space="0" w:color="cce8cf"/>
          <w:bottom w:val="nil"/>
          <w:right w:val="nil"/>
          <w:insideH w:val="nil"/>
          <w:insideV w:val="nil"/>
        </w:tcBorders>
        <w:shd w:val="clear" w:color="auto" w:fill="f79646"/>
      </w:tcPr>
    </w:tblStylePr>
    <w:tblStylePr w:type="band1Vert">
      <w:pPr/>
      <w:tblPr/>
      <w:tcPr>
        <w:tcBorders>
          <w:top w:val="single" w:sz="8" w:space="0" w:color="cce8cf"/>
          <w:left w:val="single" w:sz="8" w:space="0" w:color="cce8cf"/>
          <w:bottom w:val="single" w:sz="8" w:space="0" w:color="cce8cf"/>
          <w:right w:val="single" w:sz="8" w:space="0" w:color="cce8cf"/>
          <w:insideH w:val="nil"/>
          <w:insideV w:val="nil"/>
        </w:tcBorders>
        <w:shd w:val="clear" w:color="auto" w:fill="fbcaa2"/>
      </w:tcPr>
    </w:tblStylePr>
    <w:tcPr>
      <w:tcBorders/>
      <w:shd w:val="clear" w:color="auto" w:fill="fde4d0"/>
    </w:tc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Words>1312</Words>
  <Pages>4</Pages>
  <Characters>1384</Characters>
  <Application>WPS Office</Application>
  <DocSecurity>0</DocSecurity>
  <Paragraphs>46</Paragraphs>
  <ScaleCrop>false</ScaleCrop>
  <Company>Microsoft</Company>
  <LinksUpToDate>false</LinksUpToDate>
  <CharactersWithSpaces>1407</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2026-06-25T08:12:31Z</dcterms:created>
  <dc:creator>zhaosheng1</dc:creator>
  <lastModifiedBy>HBN-AL00</lastModifiedBy>
  <dcterms:modified xsi:type="dcterms:W3CDTF">2026-10-21T07:10:45Z</dcterms:modified>
  <dc:title>航天科工空天动力研究院（苏州）有限责任公司智能制造生产中心招聘启事</dc:title>
</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b1aa27fda56b475ebd400d9b9cfffa17_23</vt:lpwstr>
  </property>
  <property fmtid="{D5CDD505-2E9C-101B-9397-08002B2CF9AE}" pid="4" name="KSOTemplateDocerSaveRecord">
    <vt:lpwstr>eyJoZGlkIjoiOGQ4M2RhNDQ1MGM5ZGI3YzE5ZDdhZTU0YTAyNGM0ZTMiLCJ1c2VySWQiOiI1MzA0MDI2MTIifQ==</vt:lpwstr>
  </property>
</Properties>
</file>